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449" w:rsidRPr="00FF7449" w:rsidRDefault="00FF7449" w:rsidP="00E64A22">
      <w:pPr>
        <w:jc w:val="center"/>
        <w:rPr>
          <w:rFonts w:cs="Arial"/>
          <w:sz w:val="22"/>
        </w:rPr>
      </w:pPr>
      <w:bookmarkStart w:id="0" w:name="_GoBack"/>
      <w:bookmarkEnd w:id="0"/>
    </w:p>
    <w:p w:rsidR="00E64A22" w:rsidRPr="00A36A04" w:rsidRDefault="00E64A22" w:rsidP="00E64A22">
      <w:pPr>
        <w:jc w:val="center"/>
        <w:rPr>
          <w:rFonts w:cs="Arial"/>
          <w:szCs w:val="24"/>
        </w:rPr>
      </w:pPr>
      <w:r w:rsidRPr="00A36A04">
        <w:rPr>
          <w:rFonts w:cs="Arial"/>
          <w:sz w:val="36"/>
          <w:szCs w:val="36"/>
        </w:rPr>
        <w:t>News from the North West</w:t>
      </w:r>
    </w:p>
    <w:p w:rsidR="00E64A22" w:rsidRPr="00A36A04" w:rsidRDefault="00E64A22" w:rsidP="00CE2BEB">
      <w:pPr>
        <w:jc w:val="center"/>
        <w:rPr>
          <w:rFonts w:cs="Arial"/>
          <w:sz w:val="18"/>
          <w:szCs w:val="18"/>
        </w:rPr>
      </w:pPr>
      <w:r w:rsidRPr="00A36A04">
        <w:rPr>
          <w:rFonts w:cs="Arial"/>
          <w:sz w:val="18"/>
          <w:szCs w:val="18"/>
        </w:rPr>
        <w:t>The DWP North West Regional Committee is made up of reps from all the branches in the North West.</w:t>
      </w:r>
    </w:p>
    <w:p w:rsidR="00DE7772" w:rsidRPr="00FF7449" w:rsidRDefault="00942E1C" w:rsidP="00942E1C">
      <w:pPr>
        <w:jc w:val="both"/>
        <w:rPr>
          <w:rFonts w:cs="Arial"/>
          <w:b/>
          <w:sz w:val="36"/>
          <w:szCs w:val="36"/>
        </w:rPr>
      </w:pPr>
      <w:r w:rsidRPr="00942E1C">
        <w:rPr>
          <w:rFonts w:cs="Arial"/>
          <w:b/>
          <w:sz w:val="40"/>
          <w:szCs w:val="40"/>
        </w:rPr>
        <w:t>DETP’s – Disabled Employee Trigger Points</w:t>
      </w:r>
      <w:r w:rsidR="00DE7772">
        <w:rPr>
          <w:rFonts w:cs="Arial"/>
          <w:b/>
          <w:sz w:val="40"/>
          <w:szCs w:val="40"/>
        </w:rPr>
        <w:t xml:space="preserve"> </w:t>
      </w:r>
    </w:p>
    <w:p w:rsidR="00942E1C" w:rsidRPr="00DE7772" w:rsidRDefault="00DE7772" w:rsidP="00942E1C">
      <w:pPr>
        <w:jc w:val="both"/>
        <w:rPr>
          <w:rFonts w:cs="Arial"/>
          <w:b/>
          <w:sz w:val="18"/>
          <w:szCs w:val="18"/>
        </w:rPr>
        <w:sectPr w:rsidR="00942E1C" w:rsidRPr="00DE7772" w:rsidSect="00127C41">
          <w:headerReference w:type="default" r:id="rId9"/>
          <w:headerReference w:type="first" r:id="rId10"/>
          <w:pgSz w:w="11906" w:h="16838"/>
          <w:pgMar w:top="1440" w:right="1440" w:bottom="1440" w:left="1440" w:header="708" w:footer="708" w:gutter="0"/>
          <w:cols w:space="708"/>
          <w:titlePg/>
          <w:docGrid w:linePitch="360"/>
        </w:sectPr>
      </w:pPr>
      <w:r>
        <w:rPr>
          <w:rFonts w:cs="Arial"/>
          <w:b/>
          <w:sz w:val="40"/>
          <w:szCs w:val="40"/>
        </w:rPr>
        <w:t xml:space="preserve"> </w:t>
      </w:r>
    </w:p>
    <w:p w:rsidR="00DE7772" w:rsidRPr="004B7F8D" w:rsidRDefault="00942E1C" w:rsidP="00942E1C">
      <w:pPr>
        <w:jc w:val="both"/>
        <w:rPr>
          <w:rFonts w:cs="Arial"/>
          <w:lang w:eastAsia="en-GB"/>
        </w:rPr>
      </w:pPr>
      <w:r w:rsidRPr="004B7F8D">
        <w:rPr>
          <w:rFonts w:cs="Arial"/>
          <w:lang w:eastAsia="en-GB"/>
        </w:rPr>
        <w:lastRenderedPageBreak/>
        <w:t>This circ</w:t>
      </w:r>
      <w:r w:rsidR="00DE7772" w:rsidRPr="004B7F8D">
        <w:rPr>
          <w:rFonts w:cs="Arial"/>
          <w:lang w:eastAsia="en-GB"/>
        </w:rPr>
        <w:t>ular has been produced to inform members</w:t>
      </w:r>
      <w:r w:rsidRPr="004B7F8D">
        <w:rPr>
          <w:rFonts w:cs="Arial"/>
          <w:lang w:eastAsia="en-GB"/>
        </w:rPr>
        <w:t xml:space="preserve"> of DWP Guidance</w:t>
      </w:r>
      <w:r w:rsidR="00DE7772" w:rsidRPr="004B7F8D">
        <w:rPr>
          <w:rFonts w:cs="Arial"/>
          <w:lang w:eastAsia="en-GB"/>
        </w:rPr>
        <w:t xml:space="preserve"> and Policy</w:t>
      </w:r>
      <w:r w:rsidRPr="004B7F8D">
        <w:rPr>
          <w:rFonts w:cs="Arial"/>
          <w:lang w:eastAsia="en-GB"/>
        </w:rPr>
        <w:t xml:space="preserve"> in relation to DETP’s.</w:t>
      </w:r>
      <w:r w:rsidR="00DE7772" w:rsidRPr="004B7F8D">
        <w:rPr>
          <w:rFonts w:cs="Arial"/>
          <w:lang w:eastAsia="en-GB"/>
        </w:rPr>
        <w:t xml:space="preserve">  Members who believe they should have a DETP or their current DETP is not adequate are encouraged to speak with the</w:t>
      </w:r>
      <w:r w:rsidR="00201788">
        <w:rPr>
          <w:rFonts w:cs="Arial"/>
          <w:lang w:eastAsia="en-GB"/>
        </w:rPr>
        <w:t>ir local</w:t>
      </w:r>
      <w:r w:rsidR="00DE7772" w:rsidRPr="004B7F8D">
        <w:rPr>
          <w:rFonts w:cs="Arial"/>
          <w:lang w:eastAsia="en-GB"/>
        </w:rPr>
        <w:t xml:space="preserve"> PCS Rep.</w:t>
      </w:r>
    </w:p>
    <w:p w:rsidR="00201788" w:rsidRPr="000865C4" w:rsidRDefault="00201788" w:rsidP="00942E1C">
      <w:pPr>
        <w:jc w:val="both"/>
        <w:rPr>
          <w:rFonts w:cs="Arial"/>
          <w:b/>
          <w:sz w:val="32"/>
          <w:szCs w:val="32"/>
          <w:u w:val="single"/>
          <w:lang w:eastAsia="en-GB"/>
        </w:rPr>
      </w:pPr>
      <w:r w:rsidRPr="000865C4">
        <w:rPr>
          <w:rFonts w:cs="Arial"/>
          <w:b/>
          <w:sz w:val="32"/>
          <w:szCs w:val="32"/>
          <w:u w:val="single"/>
          <w:lang w:eastAsia="en-GB"/>
        </w:rPr>
        <w:t>What</w:t>
      </w:r>
      <w:r w:rsidR="008A6A7F" w:rsidRPr="000865C4">
        <w:rPr>
          <w:rFonts w:cs="Arial"/>
          <w:b/>
          <w:sz w:val="32"/>
          <w:szCs w:val="32"/>
          <w:u w:val="single"/>
          <w:lang w:eastAsia="en-GB"/>
        </w:rPr>
        <w:t xml:space="preserve"> DWP says</w:t>
      </w:r>
      <w:r w:rsidR="000865C4">
        <w:rPr>
          <w:rFonts w:cs="Arial"/>
          <w:b/>
          <w:sz w:val="32"/>
          <w:szCs w:val="32"/>
          <w:u w:val="single"/>
          <w:lang w:eastAsia="en-GB"/>
        </w:rPr>
        <w:t xml:space="preserve"> about DETP’s</w:t>
      </w:r>
      <w:r w:rsidR="008A6A7F" w:rsidRPr="000865C4">
        <w:rPr>
          <w:rFonts w:cs="Arial"/>
          <w:b/>
          <w:sz w:val="32"/>
          <w:szCs w:val="32"/>
          <w:u w:val="single"/>
          <w:lang w:eastAsia="en-GB"/>
        </w:rPr>
        <w:t>!</w:t>
      </w:r>
    </w:p>
    <w:p w:rsidR="00DE7772" w:rsidRPr="004B7F8D" w:rsidRDefault="008775BA" w:rsidP="00942E1C">
      <w:pPr>
        <w:jc w:val="both"/>
        <w:rPr>
          <w:rFonts w:cs="Arial"/>
          <w:b/>
          <w:lang w:eastAsia="en-GB"/>
        </w:rPr>
      </w:pPr>
      <w:r>
        <w:rPr>
          <w:rFonts w:cs="Arial"/>
          <w:b/>
          <w:lang w:eastAsia="en-GB"/>
        </w:rPr>
        <w:t>How the DWP decides w</w:t>
      </w:r>
      <w:r w:rsidR="00C9572E" w:rsidRPr="004B7F8D">
        <w:rPr>
          <w:rFonts w:cs="Arial"/>
          <w:b/>
          <w:lang w:eastAsia="en-GB"/>
        </w:rPr>
        <w:t>ho can have a DETP?</w:t>
      </w:r>
    </w:p>
    <w:p w:rsidR="00D6158A" w:rsidRDefault="00EA3155" w:rsidP="006575E2">
      <w:pPr>
        <w:jc w:val="both"/>
        <w:rPr>
          <w:rFonts w:cs="Arial"/>
          <w:i/>
          <w:lang w:eastAsia="en-GB"/>
        </w:rPr>
      </w:pPr>
      <w:r>
        <w:rPr>
          <w:rFonts w:cs="Arial"/>
          <w:lang w:eastAsia="en-GB"/>
        </w:rPr>
        <w:t>I</w:t>
      </w:r>
      <w:r w:rsidR="00DE7772" w:rsidRPr="004B7F8D">
        <w:rPr>
          <w:rFonts w:cs="Arial"/>
          <w:lang w:eastAsia="en-GB"/>
        </w:rPr>
        <w:t>t is not the manager</w:t>
      </w:r>
      <w:r>
        <w:rPr>
          <w:rFonts w:cs="Arial"/>
          <w:lang w:eastAsia="en-GB"/>
        </w:rPr>
        <w:t>’</w:t>
      </w:r>
      <w:r w:rsidR="00DE7772" w:rsidRPr="004B7F8D">
        <w:rPr>
          <w:rFonts w:cs="Arial"/>
          <w:lang w:eastAsia="en-GB"/>
        </w:rPr>
        <w:t>s role to decide whether an em</w:t>
      </w:r>
      <w:r w:rsidR="00C9572E" w:rsidRPr="004B7F8D">
        <w:rPr>
          <w:rFonts w:cs="Arial"/>
          <w:lang w:eastAsia="en-GB"/>
        </w:rPr>
        <w:t xml:space="preserve">ployee is disabled or not.  The question is whether this is an appropriate reasonable adjustment, which will be effective and safeguard future employment.  Managers are not expected to make formal assessments and should accept the diagnosis of the GP, if available.  Further information is detailed in Q7 </w:t>
      </w:r>
      <w:r w:rsidR="006575E2">
        <w:rPr>
          <w:rFonts w:cs="Arial"/>
          <w:lang w:eastAsia="en-GB"/>
        </w:rPr>
        <w:t xml:space="preserve">of the DWP Attendance Management advice states </w:t>
      </w:r>
      <w:r w:rsidR="006575E2">
        <w:rPr>
          <w:rFonts w:cs="Arial"/>
          <w:i/>
          <w:lang w:eastAsia="en-GB"/>
        </w:rPr>
        <w:t xml:space="preserve">A person </w:t>
      </w:r>
      <w:r w:rsidR="00D6158A">
        <w:rPr>
          <w:rFonts w:cs="Arial"/>
          <w:i/>
          <w:lang w:eastAsia="en-GB"/>
        </w:rPr>
        <w:t>would be regarded as disabled if all the following criteria applied to them:</w:t>
      </w:r>
    </w:p>
    <w:p w:rsidR="00D6158A" w:rsidRPr="00D6158A" w:rsidRDefault="00D6158A" w:rsidP="00D6158A">
      <w:pPr>
        <w:pStyle w:val="ListParagraph"/>
        <w:numPr>
          <w:ilvl w:val="0"/>
          <w:numId w:val="5"/>
        </w:numPr>
        <w:jc w:val="both"/>
        <w:rPr>
          <w:rFonts w:cs="Arial"/>
          <w:i/>
          <w:sz w:val="20"/>
          <w:szCs w:val="20"/>
          <w:lang w:eastAsia="en-GB"/>
        </w:rPr>
      </w:pPr>
      <w:r>
        <w:rPr>
          <w:rFonts w:cs="Arial"/>
          <w:i/>
          <w:lang w:eastAsia="en-GB"/>
        </w:rPr>
        <w:t>The employee has a physical or mental impairment</w:t>
      </w:r>
    </w:p>
    <w:p w:rsidR="00D6158A" w:rsidRPr="00D6158A" w:rsidRDefault="00D6158A" w:rsidP="00D6158A">
      <w:pPr>
        <w:pStyle w:val="ListParagraph"/>
        <w:numPr>
          <w:ilvl w:val="0"/>
          <w:numId w:val="5"/>
        </w:numPr>
        <w:jc w:val="both"/>
        <w:rPr>
          <w:rFonts w:cs="Arial"/>
          <w:i/>
          <w:sz w:val="20"/>
          <w:szCs w:val="20"/>
          <w:lang w:eastAsia="en-GB"/>
        </w:rPr>
      </w:pPr>
      <w:r>
        <w:rPr>
          <w:rFonts w:cs="Arial"/>
          <w:i/>
          <w:lang w:eastAsia="en-GB"/>
        </w:rPr>
        <w:t>The impairment has substantial adverse effects</w:t>
      </w:r>
    </w:p>
    <w:p w:rsidR="00D6158A" w:rsidRPr="00D6158A" w:rsidRDefault="00D6158A" w:rsidP="00D6158A">
      <w:pPr>
        <w:pStyle w:val="ListParagraph"/>
        <w:numPr>
          <w:ilvl w:val="0"/>
          <w:numId w:val="5"/>
        </w:numPr>
        <w:jc w:val="both"/>
        <w:rPr>
          <w:rFonts w:cs="Arial"/>
          <w:i/>
          <w:sz w:val="20"/>
          <w:szCs w:val="20"/>
          <w:lang w:eastAsia="en-GB"/>
        </w:rPr>
      </w:pPr>
      <w:r>
        <w:rPr>
          <w:rFonts w:cs="Arial"/>
          <w:i/>
          <w:lang w:eastAsia="en-GB"/>
        </w:rPr>
        <w:t>Long-term</w:t>
      </w:r>
    </w:p>
    <w:p w:rsidR="00C9572E" w:rsidRPr="00D6158A" w:rsidRDefault="00D6158A" w:rsidP="00D6158A">
      <w:pPr>
        <w:pStyle w:val="ListParagraph"/>
        <w:numPr>
          <w:ilvl w:val="0"/>
          <w:numId w:val="5"/>
        </w:numPr>
        <w:jc w:val="both"/>
        <w:rPr>
          <w:rFonts w:cs="Arial"/>
          <w:i/>
          <w:sz w:val="20"/>
          <w:szCs w:val="20"/>
          <w:lang w:eastAsia="en-GB"/>
        </w:rPr>
      </w:pPr>
      <w:r>
        <w:rPr>
          <w:rFonts w:cs="Arial"/>
          <w:i/>
          <w:lang w:eastAsia="en-GB"/>
        </w:rPr>
        <w:t>It is the normal activities associated with day to day living activities that are adversely affected</w:t>
      </w:r>
      <w:r w:rsidRPr="00D6158A">
        <w:rPr>
          <w:rFonts w:cs="Arial"/>
          <w:i/>
          <w:lang w:eastAsia="en-GB"/>
        </w:rPr>
        <w:t xml:space="preserve">: </w:t>
      </w:r>
    </w:p>
    <w:p w:rsidR="00C9572E" w:rsidRPr="004B7F8D" w:rsidRDefault="00C9572E" w:rsidP="00C9572E">
      <w:pPr>
        <w:spacing w:before="100" w:beforeAutospacing="1" w:after="100" w:afterAutospacing="1" w:line="240" w:lineRule="auto"/>
        <w:outlineLvl w:val="1"/>
        <w:rPr>
          <w:rFonts w:eastAsia="Times New Roman" w:cs="Arial"/>
          <w:b/>
          <w:bCs/>
          <w:szCs w:val="24"/>
          <w:lang w:val="en" w:eastAsia="en-GB"/>
        </w:rPr>
      </w:pPr>
      <w:r w:rsidRPr="004B7F8D">
        <w:rPr>
          <w:rFonts w:eastAsia="Times New Roman" w:cs="Arial"/>
          <w:b/>
          <w:bCs/>
          <w:szCs w:val="24"/>
          <w:lang w:val="en" w:eastAsia="en-GB"/>
        </w:rPr>
        <w:lastRenderedPageBreak/>
        <w:t xml:space="preserve">The basis of how the Department </w:t>
      </w:r>
      <w:r w:rsidR="006F0359">
        <w:rPr>
          <w:rFonts w:eastAsia="Times New Roman" w:cs="Arial"/>
          <w:b/>
          <w:bCs/>
          <w:szCs w:val="24"/>
          <w:lang w:val="en" w:eastAsia="en-GB"/>
        </w:rPr>
        <w:t xml:space="preserve">decides </w:t>
      </w:r>
      <w:r w:rsidR="004B7F8D" w:rsidRPr="004B7F8D">
        <w:rPr>
          <w:rFonts w:eastAsia="Times New Roman" w:cs="Arial"/>
          <w:b/>
          <w:bCs/>
          <w:szCs w:val="24"/>
          <w:lang w:val="en" w:eastAsia="en-GB"/>
        </w:rPr>
        <w:t>DETP</w:t>
      </w:r>
      <w:r w:rsidR="006F0359">
        <w:rPr>
          <w:rFonts w:eastAsia="Times New Roman" w:cs="Arial"/>
          <w:b/>
          <w:bCs/>
          <w:szCs w:val="24"/>
          <w:lang w:val="en" w:eastAsia="en-GB"/>
        </w:rPr>
        <w:t>’s</w:t>
      </w:r>
      <w:r w:rsidR="004B7F8D" w:rsidRPr="004B7F8D">
        <w:rPr>
          <w:rFonts w:eastAsia="Times New Roman" w:cs="Arial"/>
          <w:b/>
          <w:bCs/>
          <w:szCs w:val="24"/>
          <w:lang w:val="en" w:eastAsia="en-GB"/>
        </w:rPr>
        <w:t>.</w:t>
      </w:r>
    </w:p>
    <w:p w:rsidR="004B7F8D" w:rsidRDefault="00C9572E" w:rsidP="00FF7449">
      <w:pPr>
        <w:spacing w:before="100" w:beforeAutospacing="1" w:after="100" w:afterAutospacing="1" w:line="240" w:lineRule="auto"/>
        <w:jc w:val="both"/>
        <w:rPr>
          <w:rFonts w:eastAsia="Times New Roman" w:cs="Arial"/>
          <w:szCs w:val="24"/>
          <w:lang w:val="en" w:eastAsia="en-GB"/>
        </w:rPr>
      </w:pPr>
      <w:r w:rsidRPr="004B7F8D">
        <w:rPr>
          <w:rFonts w:eastAsia="Times New Roman" w:cs="Arial"/>
          <w:szCs w:val="24"/>
          <w:lang w:val="en" w:eastAsia="en-GB"/>
        </w:rPr>
        <w:t>Managers must award a Disabled Employee's Trigger Point where the employee is disabled and it would be a reasonable adjustment</w:t>
      </w:r>
      <w:r w:rsidR="004B7F8D" w:rsidRPr="004B7F8D">
        <w:rPr>
          <w:rFonts w:eastAsia="Times New Roman" w:cs="Arial"/>
          <w:szCs w:val="24"/>
          <w:lang w:val="en" w:eastAsia="en-GB"/>
        </w:rPr>
        <w:t>.  Refer to the previous link</w:t>
      </w:r>
      <w:r w:rsidR="004B7F8D">
        <w:rPr>
          <w:rFonts w:eastAsia="Times New Roman" w:cs="Arial"/>
          <w:szCs w:val="24"/>
          <w:lang w:val="en" w:eastAsia="en-GB"/>
        </w:rPr>
        <w:t>, for guidance as to when a per</w:t>
      </w:r>
      <w:r w:rsidR="008C49CA">
        <w:rPr>
          <w:rFonts w:eastAsia="Times New Roman" w:cs="Arial"/>
          <w:szCs w:val="24"/>
          <w:lang w:val="en" w:eastAsia="en-GB"/>
        </w:rPr>
        <w:t>son</w:t>
      </w:r>
      <w:r w:rsidR="00E436A7">
        <w:rPr>
          <w:rFonts w:eastAsia="Times New Roman" w:cs="Arial"/>
          <w:szCs w:val="24"/>
          <w:lang w:val="en" w:eastAsia="en-GB"/>
        </w:rPr>
        <w:t xml:space="preserve"> may be regarded as disabled also see</w:t>
      </w:r>
      <w:r w:rsidR="008C49CA">
        <w:rPr>
          <w:rFonts w:eastAsia="Times New Roman" w:cs="Arial"/>
          <w:szCs w:val="24"/>
          <w:lang w:val="en" w:eastAsia="en-GB"/>
        </w:rPr>
        <w:t xml:space="preserve"> the link below.</w:t>
      </w:r>
    </w:p>
    <w:p w:rsidR="008C49CA" w:rsidRDefault="003D4FCB" w:rsidP="008775BA">
      <w:pPr>
        <w:spacing w:before="100" w:beforeAutospacing="1" w:after="100" w:afterAutospacing="1" w:line="240" w:lineRule="auto"/>
        <w:jc w:val="both"/>
        <w:rPr>
          <w:rFonts w:eastAsia="Times New Roman" w:cs="Arial"/>
          <w:szCs w:val="24"/>
          <w:lang w:val="en" w:eastAsia="en-GB"/>
        </w:rPr>
      </w:pPr>
      <w:hyperlink r:id="rId11" w:history="1">
        <w:r w:rsidR="008C49CA" w:rsidRPr="00193F65">
          <w:rPr>
            <w:rStyle w:val="Hyperlink"/>
            <w:rFonts w:eastAsia="Times New Roman" w:cs="Arial"/>
            <w:szCs w:val="24"/>
            <w:lang w:val="en" w:eastAsia="en-GB"/>
          </w:rPr>
          <w:t>https://www.equalityhumanrights.com/en/advice-and-guidance/disability-discrimination</w:t>
        </w:r>
      </w:hyperlink>
    </w:p>
    <w:p w:rsidR="008775BA" w:rsidRDefault="004B7F8D" w:rsidP="008775BA">
      <w:pPr>
        <w:spacing w:before="100" w:beforeAutospacing="1" w:after="100" w:afterAutospacing="1" w:line="240" w:lineRule="auto"/>
        <w:jc w:val="both"/>
        <w:rPr>
          <w:rFonts w:eastAsia="Times New Roman" w:cs="Arial"/>
          <w:szCs w:val="24"/>
          <w:lang w:val="en" w:eastAsia="en-GB"/>
        </w:rPr>
      </w:pPr>
      <w:r>
        <w:rPr>
          <w:rFonts w:eastAsia="Times New Roman" w:cs="Arial"/>
          <w:szCs w:val="24"/>
          <w:lang w:val="en" w:eastAsia="en-GB"/>
        </w:rPr>
        <w:t>The aim of the DETP is to provide a Reasonable Adjustment in the form of an increase to the Trigger Point, without</w:t>
      </w:r>
      <w:r w:rsidR="00EA3155">
        <w:rPr>
          <w:rFonts w:eastAsia="Times New Roman" w:cs="Arial"/>
          <w:szCs w:val="24"/>
          <w:lang w:val="en" w:eastAsia="en-GB"/>
        </w:rPr>
        <w:t xml:space="preserve"> which</w:t>
      </w:r>
      <w:r>
        <w:rPr>
          <w:rFonts w:eastAsia="Times New Roman" w:cs="Arial"/>
          <w:szCs w:val="24"/>
          <w:lang w:val="en" w:eastAsia="en-GB"/>
        </w:rPr>
        <w:t xml:space="preserve"> the employee would not meet the attenda</w:t>
      </w:r>
      <w:r w:rsidR="00EA3155">
        <w:rPr>
          <w:rFonts w:eastAsia="Times New Roman" w:cs="Arial"/>
          <w:szCs w:val="24"/>
          <w:lang w:val="en" w:eastAsia="en-GB"/>
        </w:rPr>
        <w:t>nce standard set by DWP as a result</w:t>
      </w:r>
      <w:r>
        <w:rPr>
          <w:rFonts w:eastAsia="Times New Roman" w:cs="Arial"/>
          <w:szCs w:val="24"/>
          <w:lang w:val="en" w:eastAsia="en-GB"/>
        </w:rPr>
        <w:t xml:space="preserve"> of absences that linked to a disability.  Days allocated should take into account the employee</w:t>
      </w:r>
      <w:r w:rsidR="00EA3155">
        <w:rPr>
          <w:rFonts w:eastAsia="Times New Roman" w:cs="Arial"/>
          <w:szCs w:val="24"/>
          <w:lang w:val="en" w:eastAsia="en-GB"/>
        </w:rPr>
        <w:t>’</w:t>
      </w:r>
      <w:r>
        <w:rPr>
          <w:rFonts w:eastAsia="Times New Roman" w:cs="Arial"/>
          <w:szCs w:val="24"/>
          <w:lang w:val="en" w:eastAsia="en-GB"/>
        </w:rPr>
        <w:t>s circumstances, their disability or disabilities.  DETP’s should not be limited to supporting one condition if the member has more than one</w:t>
      </w:r>
      <w:r w:rsidR="00C9572E" w:rsidRPr="004B7F8D">
        <w:rPr>
          <w:rFonts w:eastAsia="Times New Roman" w:cs="Arial"/>
          <w:szCs w:val="24"/>
          <w:lang w:val="en" w:eastAsia="en-GB"/>
        </w:rPr>
        <w:t xml:space="preserve">. </w:t>
      </w:r>
      <w:r>
        <w:rPr>
          <w:rFonts w:eastAsia="Times New Roman" w:cs="Arial"/>
          <w:szCs w:val="24"/>
          <w:lang w:val="en" w:eastAsia="en-GB"/>
        </w:rPr>
        <w:t xml:space="preserve">Guidance refers to an approximate number of days.  </w:t>
      </w:r>
      <w:r w:rsidR="008775BA">
        <w:rPr>
          <w:rFonts w:eastAsia="Times New Roman" w:cs="Arial"/>
          <w:szCs w:val="24"/>
          <w:lang w:val="en" w:eastAsia="en-GB"/>
        </w:rPr>
        <w:t>Managing a health condition is not an exact science and therefore any manager shoul</w:t>
      </w:r>
      <w:r w:rsidR="00923284">
        <w:rPr>
          <w:rFonts w:eastAsia="Times New Roman" w:cs="Arial"/>
          <w:szCs w:val="24"/>
          <w:lang w:val="en" w:eastAsia="en-GB"/>
        </w:rPr>
        <w:t>d understand and allow for fluctuations</w:t>
      </w:r>
      <w:r w:rsidR="00EA3155">
        <w:rPr>
          <w:rFonts w:eastAsia="Times New Roman" w:cs="Arial"/>
          <w:szCs w:val="24"/>
          <w:lang w:val="en" w:eastAsia="en-GB"/>
        </w:rPr>
        <w:t xml:space="preserve"> in a condition.  Guidance refer</w:t>
      </w:r>
      <w:r w:rsidR="008775BA">
        <w:rPr>
          <w:rFonts w:eastAsia="Times New Roman" w:cs="Arial"/>
          <w:szCs w:val="24"/>
          <w:lang w:val="en" w:eastAsia="en-GB"/>
        </w:rPr>
        <w:t xml:space="preserve">s to this and a small amount of leeway should be supported.  </w:t>
      </w:r>
    </w:p>
    <w:p w:rsidR="00C9572E" w:rsidRPr="004B7F8D" w:rsidRDefault="008775BA" w:rsidP="008775BA">
      <w:pPr>
        <w:spacing w:before="100" w:beforeAutospacing="1" w:after="100" w:afterAutospacing="1" w:line="240" w:lineRule="auto"/>
        <w:jc w:val="both"/>
        <w:rPr>
          <w:rFonts w:eastAsia="Times New Roman" w:cs="Arial"/>
          <w:szCs w:val="24"/>
          <w:lang w:val="en" w:eastAsia="en-GB"/>
        </w:rPr>
      </w:pPr>
      <w:r>
        <w:rPr>
          <w:rFonts w:eastAsia="Times New Roman" w:cs="Arial"/>
          <w:szCs w:val="24"/>
          <w:lang w:val="en" w:eastAsia="en-GB"/>
        </w:rPr>
        <w:t>Managers should not be imposing</w:t>
      </w:r>
      <w:r w:rsidR="00C9572E" w:rsidRPr="004B7F8D">
        <w:rPr>
          <w:rFonts w:eastAsia="Times New Roman" w:cs="Arial"/>
          <w:szCs w:val="24"/>
          <w:lang w:val="en" w:eastAsia="en-GB"/>
        </w:rPr>
        <w:t xml:space="preserve"> a local predetermined blanket limit</w:t>
      </w:r>
      <w:r>
        <w:rPr>
          <w:rFonts w:eastAsia="Times New Roman" w:cs="Arial"/>
          <w:szCs w:val="24"/>
          <w:lang w:val="en" w:eastAsia="en-GB"/>
        </w:rPr>
        <w:t>.</w:t>
      </w:r>
    </w:p>
    <w:p w:rsidR="00C9572E" w:rsidRPr="008775BA" w:rsidRDefault="00C9572E" w:rsidP="008775BA">
      <w:pPr>
        <w:spacing w:before="100" w:beforeAutospacing="1" w:after="100" w:afterAutospacing="1" w:line="240" w:lineRule="auto"/>
        <w:jc w:val="both"/>
        <w:rPr>
          <w:rFonts w:eastAsia="Times New Roman" w:cs="Arial"/>
          <w:szCs w:val="24"/>
          <w:lang w:val="en" w:eastAsia="en-GB"/>
        </w:rPr>
      </w:pPr>
      <w:r w:rsidRPr="008775BA">
        <w:rPr>
          <w:rFonts w:eastAsia="Times New Roman" w:cs="Arial"/>
          <w:szCs w:val="24"/>
          <w:lang w:val="en" w:eastAsia="en-GB"/>
        </w:rPr>
        <w:t>Once set, a Disabled Employee's Trigger Point should not be reduced or removed upon review, on the basis of improved attendance, unless any improved attendance has been sustained for at least 12 months.</w:t>
      </w:r>
    </w:p>
    <w:p w:rsidR="00C9572E" w:rsidRPr="000865C4" w:rsidRDefault="00E436A7" w:rsidP="00942E1C">
      <w:pPr>
        <w:jc w:val="both"/>
        <w:rPr>
          <w:rFonts w:cs="Arial"/>
          <w:b/>
          <w:sz w:val="32"/>
          <w:szCs w:val="32"/>
          <w:u w:val="single"/>
          <w:lang w:eastAsia="en-GB"/>
        </w:rPr>
      </w:pPr>
      <w:r w:rsidRPr="000865C4">
        <w:rPr>
          <w:rFonts w:cs="Arial"/>
          <w:b/>
          <w:sz w:val="32"/>
          <w:szCs w:val="32"/>
          <w:u w:val="single"/>
          <w:lang w:eastAsia="en-GB"/>
        </w:rPr>
        <w:lastRenderedPageBreak/>
        <w:t xml:space="preserve">What the </w:t>
      </w:r>
      <w:r w:rsidR="00996145">
        <w:rPr>
          <w:rFonts w:cs="Arial"/>
          <w:b/>
          <w:sz w:val="32"/>
          <w:szCs w:val="32"/>
          <w:u w:val="single"/>
          <w:lang w:eastAsia="en-GB"/>
        </w:rPr>
        <w:t xml:space="preserve">Tribunals and </w:t>
      </w:r>
      <w:r w:rsidR="00FF7449">
        <w:rPr>
          <w:rFonts w:cs="Arial"/>
          <w:b/>
          <w:sz w:val="32"/>
          <w:szCs w:val="32"/>
          <w:u w:val="single"/>
          <w:lang w:eastAsia="en-GB"/>
        </w:rPr>
        <w:t xml:space="preserve">Courts have </w:t>
      </w:r>
      <w:r w:rsidRPr="000865C4">
        <w:rPr>
          <w:rFonts w:cs="Arial"/>
          <w:b/>
          <w:sz w:val="32"/>
          <w:szCs w:val="32"/>
          <w:u w:val="single"/>
          <w:lang w:eastAsia="en-GB"/>
        </w:rPr>
        <w:t>to say about DWP and DETP’s.</w:t>
      </w:r>
    </w:p>
    <w:p w:rsidR="00E436A7" w:rsidRDefault="000865C4" w:rsidP="00942E1C">
      <w:pPr>
        <w:jc w:val="both"/>
        <w:rPr>
          <w:rFonts w:cs="Arial"/>
          <w:lang w:eastAsia="en-GB"/>
        </w:rPr>
      </w:pPr>
      <w:r>
        <w:rPr>
          <w:rFonts w:cs="Arial"/>
          <w:b/>
          <w:u w:val="single"/>
          <w:lang w:eastAsia="en-GB"/>
        </w:rPr>
        <w:t>Griffiths v</w:t>
      </w:r>
      <w:r w:rsidR="00DE1C5F" w:rsidRPr="00154061">
        <w:rPr>
          <w:rFonts w:cs="Arial"/>
          <w:b/>
          <w:u w:val="single"/>
          <w:lang w:eastAsia="en-GB"/>
        </w:rPr>
        <w:t xml:space="preserve"> DWP</w:t>
      </w:r>
      <w:r w:rsidR="006F0359">
        <w:rPr>
          <w:rFonts w:cs="Arial"/>
          <w:lang w:eastAsia="en-GB"/>
        </w:rPr>
        <w:t xml:space="preserve"> -</w:t>
      </w:r>
      <w:r w:rsidR="002179EF">
        <w:rPr>
          <w:rFonts w:cs="Arial"/>
          <w:lang w:eastAsia="en-GB"/>
        </w:rPr>
        <w:t xml:space="preserve"> </w:t>
      </w:r>
      <w:r w:rsidR="00DE1C5F">
        <w:rPr>
          <w:rFonts w:cs="Arial"/>
          <w:lang w:eastAsia="en-GB"/>
        </w:rPr>
        <w:t xml:space="preserve">The DWP argued that the Attendance Management Policy had not placed the member at a substantial disadvantage, even though they had viral fatigue and fibromyalgia.  </w:t>
      </w:r>
      <w:r w:rsidR="00EE0457">
        <w:rPr>
          <w:rFonts w:cs="Arial"/>
          <w:lang w:eastAsia="en-GB"/>
        </w:rPr>
        <w:t>PCS challenged this through</w:t>
      </w:r>
      <w:r w:rsidR="00DE1C5F">
        <w:rPr>
          <w:rFonts w:cs="Arial"/>
          <w:lang w:eastAsia="en-GB"/>
        </w:rPr>
        <w:t xml:space="preserve"> the Employment Tribunal, Employment Appeal Tribunal and the Court of Appeal</w:t>
      </w:r>
      <w:r w:rsidR="00DD3A79">
        <w:rPr>
          <w:rFonts w:cs="Arial"/>
          <w:lang w:eastAsia="en-GB"/>
        </w:rPr>
        <w:t xml:space="preserve"> (CoA)</w:t>
      </w:r>
      <w:r w:rsidR="00DE1C5F">
        <w:rPr>
          <w:rFonts w:cs="Arial"/>
          <w:lang w:eastAsia="en-GB"/>
        </w:rPr>
        <w:t xml:space="preserve">. </w:t>
      </w:r>
      <w:r w:rsidR="00EA3155">
        <w:rPr>
          <w:rFonts w:cs="Arial"/>
          <w:lang w:eastAsia="en-GB"/>
        </w:rPr>
        <w:t xml:space="preserve"> The DWP position was that the Attendance M</w:t>
      </w:r>
      <w:r w:rsidR="00DE1C5F">
        <w:rPr>
          <w:rFonts w:cs="Arial"/>
          <w:lang w:eastAsia="en-GB"/>
        </w:rPr>
        <w:t xml:space="preserve">anagement policies applied to all employees and that an employee with </w:t>
      </w:r>
      <w:r w:rsidR="00DD3A79">
        <w:rPr>
          <w:rFonts w:cs="Arial"/>
          <w:lang w:eastAsia="en-GB"/>
        </w:rPr>
        <w:t xml:space="preserve">the </w:t>
      </w:r>
      <w:r w:rsidR="00DE1C5F">
        <w:rPr>
          <w:rFonts w:cs="Arial"/>
          <w:lang w:eastAsia="en-GB"/>
        </w:rPr>
        <w:t xml:space="preserve">same level of absence would be subject to the same sanction.  The DWP further argued that a reasonable adjustment in the </w:t>
      </w:r>
      <w:r w:rsidR="00DD3A79">
        <w:rPr>
          <w:rFonts w:cs="Arial"/>
          <w:lang w:eastAsia="en-GB"/>
        </w:rPr>
        <w:t>form of additional trigger days only facilitated an absence from work.  It is now clear</w:t>
      </w:r>
      <w:r w:rsidR="00EA3155">
        <w:rPr>
          <w:rFonts w:cs="Arial"/>
          <w:lang w:eastAsia="en-GB"/>
        </w:rPr>
        <w:t>,</w:t>
      </w:r>
      <w:r w:rsidR="00DD3A79">
        <w:rPr>
          <w:rFonts w:cs="Arial"/>
          <w:lang w:eastAsia="en-GB"/>
        </w:rPr>
        <w:t xml:space="preserve"> as a result of the CoA decision</w:t>
      </w:r>
      <w:r w:rsidR="00EA3155">
        <w:rPr>
          <w:rFonts w:cs="Arial"/>
          <w:lang w:eastAsia="en-GB"/>
        </w:rPr>
        <w:t>,</w:t>
      </w:r>
      <w:r w:rsidR="00DD3A79">
        <w:rPr>
          <w:rFonts w:cs="Arial"/>
          <w:lang w:eastAsia="en-GB"/>
        </w:rPr>
        <w:t xml:space="preserve"> that if a disability triggers the application of a policy, the duty to make a reasonable adjustment will apply.  This was an important decision as </w:t>
      </w:r>
      <w:r w:rsidR="00154061">
        <w:rPr>
          <w:rFonts w:cs="Arial"/>
          <w:lang w:eastAsia="en-GB"/>
        </w:rPr>
        <w:t>if DWP had been successful</w:t>
      </w:r>
      <w:r w:rsidR="002179EF">
        <w:rPr>
          <w:rFonts w:cs="Arial"/>
          <w:lang w:eastAsia="en-GB"/>
        </w:rPr>
        <w:t>,</w:t>
      </w:r>
      <w:r w:rsidR="00154061">
        <w:rPr>
          <w:rFonts w:cs="Arial"/>
          <w:lang w:eastAsia="en-GB"/>
        </w:rPr>
        <w:t xml:space="preserve"> this would have had a significant impact on whether additional trigger days should be provided for members with a disability.</w:t>
      </w:r>
    </w:p>
    <w:p w:rsidR="00154061" w:rsidRDefault="00154061" w:rsidP="00942E1C">
      <w:pPr>
        <w:jc w:val="both"/>
        <w:rPr>
          <w:rFonts w:cs="Arial"/>
          <w:lang w:eastAsia="en-GB"/>
        </w:rPr>
      </w:pPr>
      <w:r w:rsidRPr="00154061">
        <w:rPr>
          <w:rFonts w:cs="Arial"/>
          <w:b/>
          <w:u w:val="single"/>
          <w:lang w:eastAsia="en-GB"/>
        </w:rPr>
        <w:t>Lawton v DWP</w:t>
      </w:r>
      <w:r w:rsidR="006F0359">
        <w:rPr>
          <w:rFonts w:cs="Arial"/>
          <w:lang w:eastAsia="en-GB"/>
        </w:rPr>
        <w:t xml:space="preserve"> -</w:t>
      </w:r>
      <w:r>
        <w:rPr>
          <w:rFonts w:cs="Arial"/>
          <w:lang w:eastAsia="en-GB"/>
        </w:rPr>
        <w:t xml:space="preserve"> Unanimous Judgement of the</w:t>
      </w:r>
      <w:r w:rsidR="00FF7449">
        <w:rPr>
          <w:rFonts w:cs="Arial"/>
          <w:lang w:eastAsia="en-GB"/>
        </w:rPr>
        <w:t xml:space="preserve"> Tribunal, the </w:t>
      </w:r>
      <w:r>
        <w:rPr>
          <w:rFonts w:cs="Arial"/>
          <w:lang w:eastAsia="en-GB"/>
        </w:rPr>
        <w:t>DWP discriminated against the clai</w:t>
      </w:r>
      <w:r w:rsidR="00EA3155">
        <w:rPr>
          <w:rFonts w:cs="Arial"/>
          <w:lang w:eastAsia="en-GB"/>
        </w:rPr>
        <w:t>mant a</w:t>
      </w:r>
      <w:r>
        <w:rPr>
          <w:rFonts w:cs="Arial"/>
          <w:lang w:eastAsia="en-GB"/>
        </w:rPr>
        <w:t xml:space="preserve">s a result of </w:t>
      </w:r>
      <w:r w:rsidR="000865C4">
        <w:rPr>
          <w:rFonts w:cs="Arial"/>
          <w:lang w:eastAsia="en-GB"/>
        </w:rPr>
        <w:t xml:space="preserve">the unreasonable application of a consideration point.  The Tribunal concluded that the DWP </w:t>
      </w:r>
      <w:r w:rsidR="000865C4" w:rsidRPr="000865C4">
        <w:rPr>
          <w:rFonts w:cs="Arial"/>
          <w:i/>
          <w:lang w:eastAsia="en-GB"/>
        </w:rPr>
        <w:t>“considered much more its business need to secure compliance with attendance management standards than the claimant</w:t>
      </w:r>
      <w:r w:rsidR="00EA3155">
        <w:rPr>
          <w:rFonts w:cs="Arial"/>
          <w:i/>
          <w:lang w:eastAsia="en-GB"/>
        </w:rPr>
        <w:t>’</w:t>
      </w:r>
      <w:r w:rsidR="000865C4" w:rsidRPr="000865C4">
        <w:rPr>
          <w:rFonts w:cs="Arial"/>
          <w:i/>
          <w:lang w:eastAsia="en-GB"/>
        </w:rPr>
        <w:t>s individual circumstances</w:t>
      </w:r>
      <w:r w:rsidR="000865C4">
        <w:rPr>
          <w:rFonts w:cs="Arial"/>
          <w:lang w:eastAsia="en-GB"/>
        </w:rPr>
        <w:t>”.</w:t>
      </w:r>
      <w:r w:rsidR="006110CD">
        <w:rPr>
          <w:rFonts w:cs="Arial"/>
          <w:lang w:eastAsia="en-GB"/>
        </w:rPr>
        <w:t xml:space="preserve">  The tribunal advised also that the DWP was reactive rather than proactive in supporting the claimant.  Furthermore</w:t>
      </w:r>
      <w:r w:rsidR="00FF7449">
        <w:rPr>
          <w:rFonts w:cs="Arial"/>
          <w:lang w:eastAsia="en-GB"/>
        </w:rPr>
        <w:t>,</w:t>
      </w:r>
      <w:r w:rsidR="006110CD">
        <w:rPr>
          <w:rFonts w:cs="Arial"/>
          <w:lang w:eastAsia="en-GB"/>
        </w:rPr>
        <w:t xml:space="preserve"> the DWP should allow some leeway or margin above the consideration point.</w:t>
      </w:r>
    </w:p>
    <w:p w:rsidR="000865C4" w:rsidRDefault="006110CD" w:rsidP="00942E1C">
      <w:pPr>
        <w:jc w:val="both"/>
        <w:rPr>
          <w:rFonts w:cs="Arial"/>
          <w:lang w:eastAsia="en-GB"/>
        </w:rPr>
      </w:pPr>
      <w:r>
        <w:rPr>
          <w:rFonts w:cs="Arial"/>
          <w:lang w:eastAsia="en-GB"/>
        </w:rPr>
        <w:t xml:space="preserve">Ultimately the Tribunal found that the DWP </w:t>
      </w:r>
      <w:r w:rsidR="00996145">
        <w:rPr>
          <w:rFonts w:cs="Arial"/>
          <w:lang w:eastAsia="en-GB"/>
        </w:rPr>
        <w:t xml:space="preserve">had failed to make a reasonable adjustment to remove or reduce the disadvantage that </w:t>
      </w:r>
      <w:r w:rsidR="00FF7449">
        <w:rPr>
          <w:rFonts w:cs="Arial"/>
          <w:lang w:eastAsia="en-GB"/>
        </w:rPr>
        <w:lastRenderedPageBreak/>
        <w:t xml:space="preserve">the claimant was put at, </w:t>
      </w:r>
      <w:r w:rsidR="002179EF">
        <w:rPr>
          <w:rFonts w:cs="Arial"/>
          <w:lang w:eastAsia="en-GB"/>
        </w:rPr>
        <w:t>by its provision of applying</w:t>
      </w:r>
      <w:r w:rsidR="00FF7449">
        <w:rPr>
          <w:rFonts w:cs="Arial"/>
          <w:lang w:eastAsia="en-GB"/>
        </w:rPr>
        <w:t xml:space="preserve"> its own guidance.</w:t>
      </w:r>
    </w:p>
    <w:p w:rsidR="000865C4" w:rsidRPr="00FF7449" w:rsidRDefault="00FF7449" w:rsidP="00942E1C">
      <w:pPr>
        <w:jc w:val="both"/>
        <w:rPr>
          <w:rFonts w:cs="Arial"/>
          <w:b/>
          <w:lang w:eastAsia="en-GB"/>
        </w:rPr>
      </w:pPr>
      <w:r w:rsidRPr="00FF7449">
        <w:rPr>
          <w:rFonts w:cs="Arial"/>
          <w:b/>
          <w:lang w:eastAsia="en-GB"/>
        </w:rPr>
        <w:t>Motion to DWP Group Conference 201</w:t>
      </w:r>
      <w:r w:rsidR="00EA3155">
        <w:rPr>
          <w:rFonts w:cs="Arial"/>
          <w:b/>
          <w:lang w:eastAsia="en-GB"/>
        </w:rPr>
        <w:t>6</w:t>
      </w:r>
    </w:p>
    <w:p w:rsidR="008A6A7F" w:rsidRDefault="00154061" w:rsidP="00942E1C">
      <w:pPr>
        <w:jc w:val="both"/>
        <w:rPr>
          <w:rFonts w:cs="Arial"/>
          <w:lang w:eastAsia="en-GB"/>
        </w:rPr>
      </w:pPr>
      <w:r>
        <w:rPr>
          <w:rFonts w:cs="Arial"/>
          <w:lang w:eastAsia="en-GB"/>
        </w:rPr>
        <w:t>Jenny Pollard – East Lancashire Branch Chair presented a motion</w:t>
      </w:r>
      <w:r w:rsidR="00EA3155">
        <w:rPr>
          <w:rFonts w:cs="Arial"/>
          <w:lang w:eastAsia="en-GB"/>
        </w:rPr>
        <w:t xml:space="preserve"> to Group Conference 2016 in relation to</w:t>
      </w:r>
      <w:r>
        <w:rPr>
          <w:rFonts w:cs="Arial"/>
          <w:lang w:eastAsia="en-GB"/>
        </w:rPr>
        <w:t xml:space="preserve"> DETP’s</w:t>
      </w:r>
      <w:r w:rsidR="00EA3155">
        <w:rPr>
          <w:rFonts w:cs="Arial"/>
          <w:lang w:eastAsia="en-GB"/>
        </w:rPr>
        <w:t xml:space="preserve"> a</w:t>
      </w:r>
      <w:r w:rsidR="008A6A7F">
        <w:rPr>
          <w:rFonts w:cs="Arial"/>
          <w:lang w:eastAsia="en-GB"/>
        </w:rPr>
        <w:t>nd the</w:t>
      </w:r>
      <w:r>
        <w:rPr>
          <w:rFonts w:cs="Arial"/>
          <w:lang w:eastAsia="en-GB"/>
        </w:rPr>
        <w:t xml:space="preserve"> fact that a mem</w:t>
      </w:r>
      <w:r w:rsidR="008A6A7F">
        <w:rPr>
          <w:rFonts w:cs="Arial"/>
          <w:lang w:eastAsia="en-GB"/>
        </w:rPr>
        <w:t xml:space="preserve">bers in a </w:t>
      </w:r>
      <w:r>
        <w:rPr>
          <w:rFonts w:cs="Arial"/>
          <w:lang w:eastAsia="en-GB"/>
        </w:rPr>
        <w:t>6 month review period only receive 50%</w:t>
      </w:r>
      <w:r w:rsidR="008A6A7F">
        <w:rPr>
          <w:rFonts w:cs="Arial"/>
          <w:lang w:eastAsia="en-GB"/>
        </w:rPr>
        <w:t xml:space="preserve"> of there DETP’s.  Questioning</w:t>
      </w:r>
      <w:r w:rsidR="002179EF">
        <w:rPr>
          <w:rFonts w:cs="Arial"/>
          <w:lang w:eastAsia="en-GB"/>
        </w:rPr>
        <w:t>,</w:t>
      </w:r>
      <w:r w:rsidR="00EA3155">
        <w:rPr>
          <w:rFonts w:cs="Arial"/>
          <w:lang w:eastAsia="en-GB"/>
        </w:rPr>
        <w:t xml:space="preserve"> the perverse behaviour of hal</w:t>
      </w:r>
      <w:r w:rsidR="008A6A7F">
        <w:rPr>
          <w:rFonts w:cs="Arial"/>
          <w:lang w:eastAsia="en-GB"/>
        </w:rPr>
        <w:t>ving a reasonable adjustment after a period of absence.</w:t>
      </w:r>
      <w:r w:rsidR="006F0359">
        <w:rPr>
          <w:rFonts w:cs="Arial"/>
          <w:lang w:eastAsia="en-GB"/>
        </w:rPr>
        <w:t xml:space="preserve">  The motion was carried and it is hoped that </w:t>
      </w:r>
      <w:r w:rsidR="000865C4">
        <w:rPr>
          <w:rFonts w:cs="Arial"/>
          <w:lang w:eastAsia="en-GB"/>
        </w:rPr>
        <w:t>the DWP GEC</w:t>
      </w:r>
      <w:r w:rsidR="006F0359">
        <w:rPr>
          <w:rFonts w:cs="Arial"/>
          <w:lang w:eastAsia="en-GB"/>
        </w:rPr>
        <w:t xml:space="preserve"> is successful in having this </w:t>
      </w:r>
      <w:r w:rsidR="002179EF">
        <w:rPr>
          <w:rFonts w:cs="Arial"/>
          <w:lang w:eastAsia="en-GB"/>
        </w:rPr>
        <w:t xml:space="preserve">50% </w:t>
      </w:r>
      <w:r w:rsidR="00EA3155">
        <w:rPr>
          <w:rFonts w:cs="Arial"/>
          <w:lang w:eastAsia="en-GB"/>
        </w:rPr>
        <w:t>reduction</w:t>
      </w:r>
      <w:r w:rsidR="002179EF">
        <w:rPr>
          <w:rFonts w:cs="Arial"/>
          <w:lang w:eastAsia="en-GB"/>
        </w:rPr>
        <w:t xml:space="preserve"> </w:t>
      </w:r>
      <w:r w:rsidR="00C03C91">
        <w:rPr>
          <w:rFonts w:cs="Arial"/>
          <w:lang w:eastAsia="en-GB"/>
        </w:rPr>
        <w:t>removed.</w:t>
      </w:r>
    </w:p>
    <w:p w:rsidR="00FF7449" w:rsidRPr="00FF7449" w:rsidRDefault="000865C4" w:rsidP="006F0359">
      <w:pPr>
        <w:jc w:val="both"/>
        <w:rPr>
          <w:color w:val="000000"/>
          <w:sz w:val="20"/>
          <w:szCs w:val="20"/>
          <w:u w:val="single"/>
        </w:rPr>
      </w:pPr>
      <w:r w:rsidRPr="00FF7449">
        <w:rPr>
          <w:color w:val="000000"/>
          <w:sz w:val="20"/>
          <w:szCs w:val="20"/>
          <w:u w:val="single"/>
        </w:rPr>
        <w:t xml:space="preserve">Motion </w:t>
      </w:r>
      <w:r w:rsidR="006F0359" w:rsidRPr="00FF7449">
        <w:rPr>
          <w:color w:val="000000"/>
          <w:sz w:val="20"/>
          <w:szCs w:val="20"/>
          <w:u w:val="single"/>
        </w:rPr>
        <w:t>Disabled Employees Trigger Points</w:t>
      </w:r>
    </w:p>
    <w:p w:rsidR="006F0359" w:rsidRPr="00FF7449" w:rsidRDefault="006F0359" w:rsidP="006F0359">
      <w:pPr>
        <w:jc w:val="both"/>
        <w:rPr>
          <w:i/>
          <w:color w:val="000000"/>
          <w:sz w:val="20"/>
          <w:szCs w:val="20"/>
        </w:rPr>
      </w:pPr>
      <w:r w:rsidRPr="00FF7449">
        <w:rPr>
          <w:i/>
          <w:color w:val="000000"/>
          <w:sz w:val="20"/>
          <w:szCs w:val="20"/>
        </w:rPr>
        <w:t xml:space="preserve">Conference believes that the current process of providing increased Disable Employees Trigger Points (DETPS), then halving these when the member enters the review period is not just unfair but a failing by the Department, to support employees who have a disability.  Employees who manage to get some support, in the form of DETPS, do not suddenly experience 50% of their disability in a 6 month review period.  </w:t>
      </w:r>
    </w:p>
    <w:p w:rsidR="006F0359" w:rsidRPr="00FF7449" w:rsidRDefault="006F0359" w:rsidP="006F0359">
      <w:pPr>
        <w:jc w:val="both"/>
        <w:rPr>
          <w:i/>
          <w:color w:val="000000"/>
          <w:sz w:val="20"/>
          <w:szCs w:val="20"/>
        </w:rPr>
      </w:pPr>
      <w:r w:rsidRPr="00FF7449">
        <w:rPr>
          <w:i/>
          <w:color w:val="000000"/>
          <w:sz w:val="20"/>
          <w:szCs w:val="20"/>
        </w:rPr>
        <w:t>Conference instructs the DWP GEC, to enter into discussions to negotiate a change in guidance in relation to DETPS and that these are not halved during the 6 month review period, but remain at 100% of what was agreed with the member, during the review.</w:t>
      </w:r>
    </w:p>
    <w:p w:rsidR="00154061" w:rsidRPr="000865C4" w:rsidRDefault="00154061" w:rsidP="00942E1C">
      <w:pPr>
        <w:jc w:val="both"/>
        <w:rPr>
          <w:rFonts w:cs="Arial"/>
          <w:b/>
          <w:sz w:val="32"/>
          <w:szCs w:val="32"/>
          <w:u w:val="single"/>
          <w:lang w:eastAsia="en-GB"/>
        </w:rPr>
      </w:pPr>
      <w:r w:rsidRPr="000865C4">
        <w:rPr>
          <w:rFonts w:cs="Arial"/>
          <w:b/>
          <w:sz w:val="32"/>
          <w:szCs w:val="32"/>
          <w:u w:val="single"/>
          <w:lang w:eastAsia="en-GB"/>
        </w:rPr>
        <w:t>What do you have to say about DWP and DETP’s</w:t>
      </w:r>
    </w:p>
    <w:p w:rsidR="006F0359" w:rsidRDefault="008A6A7F" w:rsidP="00942E1C">
      <w:pPr>
        <w:jc w:val="both"/>
        <w:rPr>
          <w:rFonts w:cs="Arial"/>
          <w:lang w:eastAsia="en-GB"/>
        </w:rPr>
      </w:pPr>
      <w:r>
        <w:rPr>
          <w:rFonts w:cs="Arial"/>
          <w:lang w:eastAsia="en-GB"/>
        </w:rPr>
        <w:t xml:space="preserve">Please speak with your local rep if you have any concerns around any reasonable adjustments in relation to supporting a disability or if </w:t>
      </w:r>
      <w:r w:rsidR="006F0359">
        <w:rPr>
          <w:rFonts w:cs="Arial"/>
          <w:lang w:eastAsia="en-GB"/>
        </w:rPr>
        <w:t>you</w:t>
      </w:r>
      <w:r>
        <w:rPr>
          <w:rFonts w:cs="Arial"/>
          <w:lang w:eastAsia="en-GB"/>
        </w:rPr>
        <w:t xml:space="preserve"> believe </w:t>
      </w:r>
      <w:r w:rsidR="006F0359">
        <w:rPr>
          <w:rFonts w:cs="Arial"/>
          <w:lang w:eastAsia="en-GB"/>
        </w:rPr>
        <w:t>that your DETP at a level that supports your disability.</w:t>
      </w:r>
      <w:r>
        <w:rPr>
          <w:rFonts w:cs="Arial"/>
          <w:lang w:eastAsia="en-GB"/>
        </w:rPr>
        <w:t xml:space="preserve">  </w:t>
      </w:r>
    </w:p>
    <w:p w:rsidR="00FF7449" w:rsidRDefault="008A6A7F" w:rsidP="00942E1C">
      <w:pPr>
        <w:jc w:val="both"/>
        <w:rPr>
          <w:rFonts w:cs="Arial"/>
          <w:lang w:eastAsia="en-GB"/>
        </w:rPr>
      </w:pPr>
      <w:r>
        <w:rPr>
          <w:rFonts w:cs="Arial"/>
          <w:lang w:eastAsia="en-GB"/>
        </w:rPr>
        <w:t xml:space="preserve">The NW Regional </w:t>
      </w:r>
      <w:r w:rsidR="006F0359">
        <w:rPr>
          <w:rFonts w:cs="Arial"/>
          <w:lang w:eastAsia="en-GB"/>
        </w:rPr>
        <w:t>Committee will be discussing DETP’s at the forthcoming Regional Committee.  As well as how the NW can further support members, branches and understand the concern of</w:t>
      </w:r>
      <w:r w:rsidR="000865C4">
        <w:rPr>
          <w:rFonts w:cs="Arial"/>
          <w:lang w:eastAsia="en-GB"/>
        </w:rPr>
        <w:t xml:space="preserve"> those members affected by how DWP decides on how many DETP’s you should have.</w:t>
      </w:r>
    </w:p>
    <w:p w:rsidR="006F0359" w:rsidRPr="006110CD" w:rsidRDefault="006F0359" w:rsidP="00942E1C">
      <w:pPr>
        <w:jc w:val="both"/>
        <w:rPr>
          <w:rFonts w:cs="Arial"/>
          <w:sz w:val="22"/>
          <w:lang w:eastAsia="en-GB"/>
        </w:rPr>
      </w:pPr>
      <w:r w:rsidRPr="006110CD">
        <w:rPr>
          <w:b/>
          <w:sz w:val="22"/>
        </w:rPr>
        <w:t>Andrew Knowles PCS NW Regional Secretary</w:t>
      </w:r>
    </w:p>
    <w:sectPr w:rsidR="006F0359" w:rsidRPr="006110CD" w:rsidSect="0058480F">
      <w:type w:val="continuous"/>
      <w:pgSz w:w="11906" w:h="16838"/>
      <w:pgMar w:top="720" w:right="720" w:bottom="720" w:left="720" w:header="708" w:footer="708"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E58" w:rsidRDefault="00700E58" w:rsidP="001C3480">
      <w:pPr>
        <w:spacing w:after="0" w:line="240" w:lineRule="auto"/>
      </w:pPr>
      <w:r>
        <w:separator/>
      </w:r>
    </w:p>
  </w:endnote>
  <w:endnote w:type="continuationSeparator" w:id="0">
    <w:p w:rsidR="00700E58" w:rsidRDefault="00700E58" w:rsidP="001C3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top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E58" w:rsidRDefault="00700E58" w:rsidP="001C3480">
      <w:pPr>
        <w:spacing w:after="0" w:line="240" w:lineRule="auto"/>
      </w:pPr>
      <w:r>
        <w:separator/>
      </w:r>
    </w:p>
  </w:footnote>
  <w:footnote w:type="continuationSeparator" w:id="0">
    <w:p w:rsidR="00700E58" w:rsidRDefault="00700E58" w:rsidP="001C34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5E2" w:rsidRDefault="006575E2" w:rsidP="001C3480">
    <w:pPr>
      <w:pStyle w:val="Header"/>
      <w:tabs>
        <w:tab w:val="left" w:pos="480"/>
      </w:tabs>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5E2" w:rsidRDefault="006575E2">
    <w:pPr>
      <w:pStyle w:val="Header"/>
    </w:pPr>
    <w:r w:rsidRPr="00FD3ABD">
      <w:rPr>
        <w:sz w:val="36"/>
        <w:szCs w:val="36"/>
      </w:rPr>
      <w:t>PCS DWP North West Region</w:t>
    </w:r>
    <w:r>
      <w:rPr>
        <w:rFonts w:cs="Arial"/>
        <w:noProof/>
        <w:sz w:val="20"/>
        <w:szCs w:val="20"/>
        <w:lang w:eastAsia="en-GB"/>
      </w:rPr>
      <w:t xml:space="preserve">                                             </w:t>
    </w:r>
    <w:r>
      <w:rPr>
        <w:rFonts w:cs="Arial"/>
        <w:noProof/>
        <w:sz w:val="20"/>
        <w:szCs w:val="20"/>
        <w:lang w:eastAsia="en-GB"/>
      </w:rPr>
      <w:drawing>
        <wp:inline distT="0" distB="0" distL="0" distR="0" wp14:anchorId="10F20767" wp14:editId="3012A6DA">
          <wp:extent cx="1047750" cy="609600"/>
          <wp:effectExtent l="0" t="0" r="0" b="0"/>
          <wp:docPr id="1" name="Picture 1" descr="http://ts1.mm.bing.net/th?&amp;id=HN.608020382735600664&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s1.mm.bing.net/th?&amp;id=HN.608020382735600664&amp;w=300&amp;h=300&amp;c=0&amp;pid=1.9&amp;rs=0&amp;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09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651E4"/>
    <w:multiLevelType w:val="hybridMultilevel"/>
    <w:tmpl w:val="4E381DC4"/>
    <w:lvl w:ilvl="0" w:tplc="C66CCAD8">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B485A8E"/>
    <w:multiLevelType w:val="multilevel"/>
    <w:tmpl w:val="740C83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nsid w:val="363B2267"/>
    <w:multiLevelType w:val="hybridMultilevel"/>
    <w:tmpl w:val="A34E7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5970638"/>
    <w:multiLevelType w:val="hybridMultilevel"/>
    <w:tmpl w:val="8BEA09FE"/>
    <w:lvl w:ilvl="0" w:tplc="4C2A4E8A">
      <w:numFmt w:val="bullet"/>
      <w:lvlText w:val="-"/>
      <w:lvlJc w:val="left"/>
      <w:pPr>
        <w:ind w:left="720" w:hanging="360"/>
      </w:pPr>
      <w:rPr>
        <w:rFonts w:ascii="Arial" w:eastAsiaTheme="minorHAnsi"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7256239"/>
    <w:multiLevelType w:val="multilevel"/>
    <w:tmpl w:val="BE88D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480"/>
    <w:rsid w:val="00061902"/>
    <w:rsid w:val="000865C4"/>
    <w:rsid w:val="00127C41"/>
    <w:rsid w:val="00154061"/>
    <w:rsid w:val="001C3480"/>
    <w:rsid w:val="00201788"/>
    <w:rsid w:val="002179EF"/>
    <w:rsid w:val="002758A6"/>
    <w:rsid w:val="0032014E"/>
    <w:rsid w:val="003D4FCB"/>
    <w:rsid w:val="00480E07"/>
    <w:rsid w:val="004943DE"/>
    <w:rsid w:val="004B7F8D"/>
    <w:rsid w:val="00543558"/>
    <w:rsid w:val="0058480F"/>
    <w:rsid w:val="006110CD"/>
    <w:rsid w:val="006575E2"/>
    <w:rsid w:val="00657F79"/>
    <w:rsid w:val="00674A85"/>
    <w:rsid w:val="00682678"/>
    <w:rsid w:val="006F0359"/>
    <w:rsid w:val="00700E58"/>
    <w:rsid w:val="007152E7"/>
    <w:rsid w:val="00784FE1"/>
    <w:rsid w:val="008775BA"/>
    <w:rsid w:val="008A314C"/>
    <w:rsid w:val="008A6A7F"/>
    <w:rsid w:val="008C49CA"/>
    <w:rsid w:val="008D2E15"/>
    <w:rsid w:val="008D57F1"/>
    <w:rsid w:val="00923284"/>
    <w:rsid w:val="00942E1C"/>
    <w:rsid w:val="00996145"/>
    <w:rsid w:val="009B5465"/>
    <w:rsid w:val="00A36A04"/>
    <w:rsid w:val="00A4328E"/>
    <w:rsid w:val="00A502AB"/>
    <w:rsid w:val="00A97B09"/>
    <w:rsid w:val="00AC3ADC"/>
    <w:rsid w:val="00B278CF"/>
    <w:rsid w:val="00BE35DA"/>
    <w:rsid w:val="00C03C91"/>
    <w:rsid w:val="00C53873"/>
    <w:rsid w:val="00C55383"/>
    <w:rsid w:val="00C9572E"/>
    <w:rsid w:val="00CB7CC6"/>
    <w:rsid w:val="00CE2BEB"/>
    <w:rsid w:val="00D4457D"/>
    <w:rsid w:val="00D446B7"/>
    <w:rsid w:val="00D6158A"/>
    <w:rsid w:val="00D64B42"/>
    <w:rsid w:val="00D70B35"/>
    <w:rsid w:val="00DD3A79"/>
    <w:rsid w:val="00DE1C5F"/>
    <w:rsid w:val="00DE7772"/>
    <w:rsid w:val="00E02B63"/>
    <w:rsid w:val="00E16D6A"/>
    <w:rsid w:val="00E23890"/>
    <w:rsid w:val="00E436A7"/>
    <w:rsid w:val="00E43834"/>
    <w:rsid w:val="00E45447"/>
    <w:rsid w:val="00E64A22"/>
    <w:rsid w:val="00EA3155"/>
    <w:rsid w:val="00EE0457"/>
    <w:rsid w:val="00F72517"/>
    <w:rsid w:val="00F83AC2"/>
    <w:rsid w:val="00F86BD0"/>
    <w:rsid w:val="00FF7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480"/>
  </w:style>
  <w:style w:type="paragraph" w:styleId="Heading2">
    <w:name w:val="heading 2"/>
    <w:basedOn w:val="Normal"/>
    <w:link w:val="Heading2Char"/>
    <w:uiPriority w:val="9"/>
    <w:qFormat/>
    <w:rsid w:val="00D4457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480"/>
    <w:pPr>
      <w:ind w:left="720"/>
      <w:contextualSpacing/>
    </w:pPr>
  </w:style>
  <w:style w:type="paragraph" w:styleId="Header">
    <w:name w:val="header"/>
    <w:basedOn w:val="Normal"/>
    <w:link w:val="HeaderChar"/>
    <w:uiPriority w:val="99"/>
    <w:unhideWhenUsed/>
    <w:rsid w:val="001C3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3480"/>
  </w:style>
  <w:style w:type="paragraph" w:styleId="Footer">
    <w:name w:val="footer"/>
    <w:basedOn w:val="Normal"/>
    <w:link w:val="FooterChar"/>
    <w:uiPriority w:val="99"/>
    <w:unhideWhenUsed/>
    <w:rsid w:val="001C3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3480"/>
  </w:style>
  <w:style w:type="paragraph" w:styleId="BalloonText">
    <w:name w:val="Balloon Text"/>
    <w:basedOn w:val="Normal"/>
    <w:link w:val="BalloonTextChar"/>
    <w:uiPriority w:val="99"/>
    <w:semiHidden/>
    <w:unhideWhenUsed/>
    <w:rsid w:val="001C3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480"/>
    <w:rPr>
      <w:rFonts w:ascii="Tahoma" w:hAnsi="Tahoma" w:cs="Tahoma"/>
      <w:sz w:val="16"/>
      <w:szCs w:val="16"/>
    </w:rPr>
  </w:style>
  <w:style w:type="character" w:styleId="Hyperlink">
    <w:name w:val="Hyperlink"/>
    <w:basedOn w:val="DefaultParagraphFont"/>
    <w:uiPriority w:val="99"/>
    <w:unhideWhenUsed/>
    <w:rsid w:val="00E43834"/>
    <w:rPr>
      <w:color w:val="0000FF" w:themeColor="hyperlink"/>
      <w:u w:val="single"/>
    </w:rPr>
  </w:style>
  <w:style w:type="paragraph" w:styleId="Revision">
    <w:name w:val="Revision"/>
    <w:hidden/>
    <w:uiPriority w:val="99"/>
    <w:semiHidden/>
    <w:rsid w:val="00674A85"/>
    <w:pPr>
      <w:spacing w:after="0" w:line="240" w:lineRule="auto"/>
    </w:pPr>
  </w:style>
  <w:style w:type="paragraph" w:styleId="NoSpacing">
    <w:name w:val="No Spacing"/>
    <w:uiPriority w:val="1"/>
    <w:qFormat/>
    <w:rsid w:val="0058480F"/>
    <w:pPr>
      <w:spacing w:after="0" w:line="240" w:lineRule="auto"/>
      <w:jc w:val="both"/>
    </w:pPr>
    <w:rPr>
      <w:rFonts w:ascii="Utopia" w:eastAsia="Calibri" w:hAnsi="Utopia" w:cs="Times New Roman"/>
      <w:sz w:val="22"/>
    </w:rPr>
  </w:style>
  <w:style w:type="character" w:customStyle="1" w:styleId="Heading2Char">
    <w:name w:val="Heading 2 Char"/>
    <w:basedOn w:val="DefaultParagraphFont"/>
    <w:link w:val="Heading2"/>
    <w:uiPriority w:val="9"/>
    <w:rsid w:val="00D4457D"/>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D4457D"/>
    <w:rPr>
      <w:b/>
      <w:bCs/>
    </w:rPr>
  </w:style>
  <w:style w:type="paragraph" w:styleId="NormalWeb">
    <w:name w:val="Normal (Web)"/>
    <w:basedOn w:val="Normal"/>
    <w:uiPriority w:val="99"/>
    <w:unhideWhenUsed/>
    <w:rsid w:val="00D4457D"/>
    <w:pPr>
      <w:spacing w:before="100" w:beforeAutospacing="1" w:after="100" w:afterAutospacing="1" w:line="240" w:lineRule="auto"/>
    </w:pPr>
    <w:rPr>
      <w:rFonts w:ascii="Times New Roman" w:eastAsia="Times New Roman" w:hAnsi="Times New Roman" w:cs="Times New Roman"/>
      <w:szCs w:val="24"/>
      <w:lang w:eastAsia="en-GB"/>
    </w:rPr>
  </w:style>
  <w:style w:type="character" w:styleId="FollowedHyperlink">
    <w:name w:val="FollowedHyperlink"/>
    <w:basedOn w:val="DefaultParagraphFont"/>
    <w:uiPriority w:val="99"/>
    <w:semiHidden/>
    <w:unhideWhenUsed/>
    <w:rsid w:val="006575E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480"/>
  </w:style>
  <w:style w:type="paragraph" w:styleId="Heading2">
    <w:name w:val="heading 2"/>
    <w:basedOn w:val="Normal"/>
    <w:link w:val="Heading2Char"/>
    <w:uiPriority w:val="9"/>
    <w:qFormat/>
    <w:rsid w:val="00D4457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480"/>
    <w:pPr>
      <w:ind w:left="720"/>
      <w:contextualSpacing/>
    </w:pPr>
  </w:style>
  <w:style w:type="paragraph" w:styleId="Header">
    <w:name w:val="header"/>
    <w:basedOn w:val="Normal"/>
    <w:link w:val="HeaderChar"/>
    <w:uiPriority w:val="99"/>
    <w:unhideWhenUsed/>
    <w:rsid w:val="001C3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3480"/>
  </w:style>
  <w:style w:type="paragraph" w:styleId="Footer">
    <w:name w:val="footer"/>
    <w:basedOn w:val="Normal"/>
    <w:link w:val="FooterChar"/>
    <w:uiPriority w:val="99"/>
    <w:unhideWhenUsed/>
    <w:rsid w:val="001C3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3480"/>
  </w:style>
  <w:style w:type="paragraph" w:styleId="BalloonText">
    <w:name w:val="Balloon Text"/>
    <w:basedOn w:val="Normal"/>
    <w:link w:val="BalloonTextChar"/>
    <w:uiPriority w:val="99"/>
    <w:semiHidden/>
    <w:unhideWhenUsed/>
    <w:rsid w:val="001C3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3480"/>
    <w:rPr>
      <w:rFonts w:ascii="Tahoma" w:hAnsi="Tahoma" w:cs="Tahoma"/>
      <w:sz w:val="16"/>
      <w:szCs w:val="16"/>
    </w:rPr>
  </w:style>
  <w:style w:type="character" w:styleId="Hyperlink">
    <w:name w:val="Hyperlink"/>
    <w:basedOn w:val="DefaultParagraphFont"/>
    <w:uiPriority w:val="99"/>
    <w:unhideWhenUsed/>
    <w:rsid w:val="00E43834"/>
    <w:rPr>
      <w:color w:val="0000FF" w:themeColor="hyperlink"/>
      <w:u w:val="single"/>
    </w:rPr>
  </w:style>
  <w:style w:type="paragraph" w:styleId="Revision">
    <w:name w:val="Revision"/>
    <w:hidden/>
    <w:uiPriority w:val="99"/>
    <w:semiHidden/>
    <w:rsid w:val="00674A85"/>
    <w:pPr>
      <w:spacing w:after="0" w:line="240" w:lineRule="auto"/>
    </w:pPr>
  </w:style>
  <w:style w:type="paragraph" w:styleId="NoSpacing">
    <w:name w:val="No Spacing"/>
    <w:uiPriority w:val="1"/>
    <w:qFormat/>
    <w:rsid w:val="0058480F"/>
    <w:pPr>
      <w:spacing w:after="0" w:line="240" w:lineRule="auto"/>
      <w:jc w:val="both"/>
    </w:pPr>
    <w:rPr>
      <w:rFonts w:ascii="Utopia" w:eastAsia="Calibri" w:hAnsi="Utopia" w:cs="Times New Roman"/>
      <w:sz w:val="22"/>
    </w:rPr>
  </w:style>
  <w:style w:type="character" w:customStyle="1" w:styleId="Heading2Char">
    <w:name w:val="Heading 2 Char"/>
    <w:basedOn w:val="DefaultParagraphFont"/>
    <w:link w:val="Heading2"/>
    <w:uiPriority w:val="9"/>
    <w:rsid w:val="00D4457D"/>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D4457D"/>
    <w:rPr>
      <w:b/>
      <w:bCs/>
    </w:rPr>
  </w:style>
  <w:style w:type="paragraph" w:styleId="NormalWeb">
    <w:name w:val="Normal (Web)"/>
    <w:basedOn w:val="Normal"/>
    <w:uiPriority w:val="99"/>
    <w:unhideWhenUsed/>
    <w:rsid w:val="00D4457D"/>
    <w:pPr>
      <w:spacing w:before="100" w:beforeAutospacing="1" w:after="100" w:afterAutospacing="1" w:line="240" w:lineRule="auto"/>
    </w:pPr>
    <w:rPr>
      <w:rFonts w:ascii="Times New Roman" w:eastAsia="Times New Roman" w:hAnsi="Times New Roman" w:cs="Times New Roman"/>
      <w:szCs w:val="24"/>
      <w:lang w:eastAsia="en-GB"/>
    </w:rPr>
  </w:style>
  <w:style w:type="character" w:styleId="FollowedHyperlink">
    <w:name w:val="FollowedHyperlink"/>
    <w:basedOn w:val="DefaultParagraphFont"/>
    <w:uiPriority w:val="99"/>
    <w:semiHidden/>
    <w:unhideWhenUsed/>
    <w:rsid w:val="006575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041381">
      <w:bodyDiv w:val="1"/>
      <w:marLeft w:val="0"/>
      <w:marRight w:val="0"/>
      <w:marTop w:val="0"/>
      <w:marBottom w:val="0"/>
      <w:divBdr>
        <w:top w:val="none" w:sz="0" w:space="0" w:color="auto"/>
        <w:left w:val="none" w:sz="0" w:space="0" w:color="auto"/>
        <w:bottom w:val="none" w:sz="0" w:space="0" w:color="auto"/>
        <w:right w:val="none" w:sz="0" w:space="0" w:color="auto"/>
      </w:divBdr>
    </w:div>
    <w:div w:id="1137836361">
      <w:bodyDiv w:val="1"/>
      <w:marLeft w:val="0"/>
      <w:marRight w:val="0"/>
      <w:marTop w:val="0"/>
      <w:marBottom w:val="0"/>
      <w:divBdr>
        <w:top w:val="none" w:sz="0" w:space="0" w:color="auto"/>
        <w:left w:val="none" w:sz="0" w:space="0" w:color="auto"/>
        <w:bottom w:val="none" w:sz="0" w:space="0" w:color="auto"/>
        <w:right w:val="none" w:sz="0" w:space="0" w:color="auto"/>
      </w:divBdr>
    </w:div>
    <w:div w:id="1239679560">
      <w:bodyDiv w:val="1"/>
      <w:marLeft w:val="0"/>
      <w:marRight w:val="0"/>
      <w:marTop w:val="0"/>
      <w:marBottom w:val="0"/>
      <w:divBdr>
        <w:top w:val="none" w:sz="0" w:space="0" w:color="auto"/>
        <w:left w:val="none" w:sz="0" w:space="0" w:color="auto"/>
        <w:bottom w:val="none" w:sz="0" w:space="0" w:color="auto"/>
        <w:right w:val="none" w:sz="0" w:space="0" w:color="auto"/>
      </w:divBdr>
      <w:divsChild>
        <w:div w:id="1275287607">
          <w:marLeft w:val="0"/>
          <w:marRight w:val="0"/>
          <w:marTop w:val="0"/>
          <w:marBottom w:val="0"/>
          <w:divBdr>
            <w:top w:val="none" w:sz="0" w:space="0" w:color="auto"/>
            <w:left w:val="none" w:sz="0" w:space="0" w:color="auto"/>
            <w:bottom w:val="none" w:sz="0" w:space="0" w:color="auto"/>
            <w:right w:val="none" w:sz="0" w:space="0" w:color="auto"/>
          </w:divBdr>
          <w:divsChild>
            <w:div w:id="31877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373642">
      <w:bodyDiv w:val="1"/>
      <w:marLeft w:val="0"/>
      <w:marRight w:val="0"/>
      <w:marTop w:val="0"/>
      <w:marBottom w:val="0"/>
      <w:divBdr>
        <w:top w:val="none" w:sz="0" w:space="0" w:color="auto"/>
        <w:left w:val="none" w:sz="0" w:space="0" w:color="auto"/>
        <w:bottom w:val="none" w:sz="0" w:space="0" w:color="auto"/>
        <w:right w:val="none" w:sz="0" w:space="0" w:color="auto"/>
      </w:divBdr>
    </w:div>
    <w:div w:id="1585802761">
      <w:bodyDiv w:val="1"/>
      <w:marLeft w:val="0"/>
      <w:marRight w:val="0"/>
      <w:marTop w:val="0"/>
      <w:marBottom w:val="0"/>
      <w:divBdr>
        <w:top w:val="none" w:sz="0" w:space="0" w:color="auto"/>
        <w:left w:val="none" w:sz="0" w:space="0" w:color="auto"/>
        <w:bottom w:val="none" w:sz="0" w:space="0" w:color="auto"/>
        <w:right w:val="none" w:sz="0" w:space="0" w:color="auto"/>
      </w:divBdr>
      <w:divsChild>
        <w:div w:id="63188584">
          <w:marLeft w:val="0"/>
          <w:marRight w:val="0"/>
          <w:marTop w:val="0"/>
          <w:marBottom w:val="0"/>
          <w:divBdr>
            <w:top w:val="none" w:sz="0" w:space="0" w:color="auto"/>
            <w:left w:val="none" w:sz="0" w:space="0" w:color="auto"/>
            <w:bottom w:val="none" w:sz="0" w:space="0" w:color="auto"/>
            <w:right w:val="none" w:sz="0" w:space="0" w:color="auto"/>
          </w:divBdr>
          <w:divsChild>
            <w:div w:id="19577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004325">
      <w:bodyDiv w:val="1"/>
      <w:marLeft w:val="0"/>
      <w:marRight w:val="0"/>
      <w:marTop w:val="0"/>
      <w:marBottom w:val="0"/>
      <w:divBdr>
        <w:top w:val="none" w:sz="0" w:space="0" w:color="auto"/>
        <w:left w:val="none" w:sz="0" w:space="0" w:color="auto"/>
        <w:bottom w:val="none" w:sz="0" w:space="0" w:color="auto"/>
        <w:right w:val="none" w:sz="0" w:space="0" w:color="auto"/>
      </w:divBdr>
    </w:div>
    <w:div w:id="1899782732">
      <w:bodyDiv w:val="1"/>
      <w:marLeft w:val="0"/>
      <w:marRight w:val="0"/>
      <w:marTop w:val="0"/>
      <w:marBottom w:val="0"/>
      <w:divBdr>
        <w:top w:val="none" w:sz="0" w:space="0" w:color="auto"/>
        <w:left w:val="none" w:sz="0" w:space="0" w:color="auto"/>
        <w:bottom w:val="none" w:sz="0" w:space="0" w:color="auto"/>
        <w:right w:val="none" w:sz="0" w:space="0" w:color="auto"/>
      </w:divBdr>
    </w:div>
    <w:div w:id="2110732398">
      <w:bodyDiv w:val="1"/>
      <w:marLeft w:val="0"/>
      <w:marRight w:val="0"/>
      <w:marTop w:val="0"/>
      <w:marBottom w:val="0"/>
      <w:divBdr>
        <w:top w:val="none" w:sz="0" w:space="0" w:color="auto"/>
        <w:left w:val="none" w:sz="0" w:space="0" w:color="auto"/>
        <w:bottom w:val="none" w:sz="0" w:space="0" w:color="auto"/>
        <w:right w:val="none" w:sz="0" w:space="0" w:color="auto"/>
      </w:divBdr>
      <w:divsChild>
        <w:div w:id="557982809">
          <w:marLeft w:val="0"/>
          <w:marRight w:val="0"/>
          <w:marTop w:val="0"/>
          <w:marBottom w:val="0"/>
          <w:divBdr>
            <w:top w:val="none" w:sz="0" w:space="0" w:color="auto"/>
            <w:left w:val="none" w:sz="0" w:space="0" w:color="auto"/>
            <w:bottom w:val="none" w:sz="0" w:space="0" w:color="auto"/>
            <w:right w:val="none" w:sz="0" w:space="0" w:color="auto"/>
          </w:divBdr>
          <w:divsChild>
            <w:div w:id="104949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qualityhumanrights.com/en/advice-and-guidance/disability-discrimination" TargetMode="Externa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1C6F0A-73EB-496B-8AE2-48B88404E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E8710968</Template>
  <TotalTime>7</TotalTime>
  <Pages>2</Pages>
  <Words>907</Words>
  <Characters>5172</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6067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Wright Annette DWP VISITING NW TEAM 4</dc:creator>
  <cp:lastModifiedBy>Drury Matthew DWP BD DISABILITY BLACKPOOL</cp:lastModifiedBy>
  <cp:revision>2</cp:revision>
  <cp:lastPrinted>2016-10-18T13:24:00Z</cp:lastPrinted>
  <dcterms:created xsi:type="dcterms:W3CDTF">2016-11-10T16:35:00Z</dcterms:created>
  <dcterms:modified xsi:type="dcterms:W3CDTF">2016-11-10T16:35:00Z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-2128610369</vt:i4>
  </property>
  <property fmtid="{D5CDD505-2E9C-101B-9397-08002B2CF9AE}" pid="3" name="_NewReviewCycle">
    <vt:lpwstr/>
  </property>
  <property fmtid="{D5CDD505-2E9C-101B-9397-08002B2CF9AE}" pid="4" name="_EmailSubject">
    <vt:lpwstr>TU - NW RC Action Point - DETP Newsletter</vt:lpwstr>
  </property>
  <property fmtid="{D5CDD505-2E9C-101B-9397-08002B2CF9AE}" pid="5" name="_AuthorEmail">
    <vt:lpwstr>JENNIFER.POLLARD@DWP.GSI.GOV.UK</vt:lpwstr>
  </property>
  <property fmtid="{D5CDD505-2E9C-101B-9397-08002B2CF9AE}" pid="6" name="_AuthorEmailDisplayName">
    <vt:lpwstr>Pollard Jennifer DWP IBR QUALITY</vt:lpwstr>
  </property>
  <property fmtid="{D5CDD505-2E9C-101B-9397-08002B2CF9AE}" pid="7" name="_PreviousAdHocReviewCycleID">
    <vt:i4>-1547508926</vt:i4>
  </property>
  <property fmtid="{D5CDD505-2E9C-101B-9397-08002B2CF9AE}" pid="8" name="_ReviewingToolsShownOnce">
    <vt:lpwstr/>
  </property>
</Properties>
</file>