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676" w:rsidRDefault="00072676" w:rsidP="00072676">
      <w:pPr>
        <w:jc w:val="center"/>
      </w:pPr>
      <w:r>
        <w:rPr>
          <w:noProof/>
          <w:lang w:eastAsia="en-GB"/>
        </w:rPr>
        <w:drawing>
          <wp:inline distT="0" distB="0" distL="0" distR="0">
            <wp:extent cx="5731510" cy="12065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KDHM_Top-banner_01.png"/>
                    <pic:cNvPicPr/>
                  </pic:nvPicPr>
                  <pic:blipFill>
                    <a:blip r:embed="rId8">
                      <a:extLst>
                        <a:ext uri="{28A0092B-C50C-407E-A947-70E740481C1C}">
                          <a14:useLocalDpi xmlns:a14="http://schemas.microsoft.com/office/drawing/2010/main" val="0"/>
                        </a:ext>
                      </a:extLst>
                    </a:blip>
                    <a:stretch>
                      <a:fillRect/>
                    </a:stretch>
                  </pic:blipFill>
                  <pic:spPr>
                    <a:xfrm>
                      <a:off x="0" y="0"/>
                      <a:ext cx="5731510" cy="1206500"/>
                    </a:xfrm>
                    <a:prstGeom prst="rect">
                      <a:avLst/>
                    </a:prstGeom>
                  </pic:spPr>
                </pic:pic>
              </a:graphicData>
            </a:graphic>
          </wp:inline>
        </w:drawing>
      </w:r>
    </w:p>
    <w:p w:rsidR="00072676" w:rsidRDefault="00072676" w:rsidP="00072676">
      <w:pPr>
        <w:jc w:val="center"/>
      </w:pPr>
    </w:p>
    <w:p w:rsidR="00072676" w:rsidRDefault="00072676" w:rsidP="00072676">
      <w:pPr>
        <w:jc w:val="center"/>
      </w:pPr>
      <w:r>
        <w:rPr>
          <w:noProof/>
          <w:lang w:eastAsia="en-GB"/>
        </w:rPr>
        <w:drawing>
          <wp:inline distT="0" distB="0" distL="0" distR="0" wp14:anchorId="25B0AC20" wp14:editId="05C81FE5">
            <wp:extent cx="4346388" cy="5650302"/>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et"/>
                    <pic:cNvPicPr/>
                  </pic:nvPicPr>
                  <pic:blipFill>
                    <a:blip r:embed="rId9">
                      <a:extLst>
                        <a:ext uri="{28A0092B-C50C-407E-A947-70E740481C1C}">
                          <a14:useLocalDpi xmlns:a14="http://schemas.microsoft.com/office/drawing/2010/main" val="0"/>
                        </a:ext>
                      </a:extLst>
                    </a:blip>
                    <a:stretch>
                      <a:fillRect/>
                    </a:stretch>
                  </pic:blipFill>
                  <pic:spPr>
                    <a:xfrm>
                      <a:off x="0" y="0"/>
                      <a:ext cx="4350994" cy="5656290"/>
                    </a:xfrm>
                    <a:prstGeom prst="rect">
                      <a:avLst/>
                    </a:prstGeom>
                  </pic:spPr>
                </pic:pic>
              </a:graphicData>
            </a:graphic>
          </wp:inline>
        </w:drawing>
      </w:r>
    </w:p>
    <w:p w:rsidR="00072676" w:rsidRDefault="00AE552C">
      <w:r>
        <w:t>Ludwig van</w:t>
      </w:r>
      <w:bookmarkStart w:id="0" w:name="_GoBack"/>
      <w:bookmarkEnd w:id="0"/>
      <w:r>
        <w:t xml:space="preserve"> </w:t>
      </w:r>
      <w:r w:rsidR="00072676" w:rsidRPr="00072676">
        <w:t>Beethoven is remembered for his ability to compose classic music after completely losing his hearing. He tried several ways of using his deteriorating hearing before it completely disappeared. He had the legs of his pianoforte cut off, so that it was sitting directly on the floor. By lying on the floor in front of the keyboard, he could feel vibrations while he pla</w:t>
      </w:r>
      <w:r w:rsidR="00072676">
        <w:t>yed, helping him to compose.</w:t>
      </w:r>
    </w:p>
    <w:p w:rsidR="00072676" w:rsidRDefault="00072676">
      <w:r>
        <w:lastRenderedPageBreak/>
        <w:t xml:space="preserve">He </w:t>
      </w:r>
      <w:r w:rsidRPr="00072676">
        <w:t>is reported to have dated his hearing loss from a fit he suffered in 1798 induced by a rage at the interruption of his work—having fallen over, he got up to find himself deaf. His hearing only ever partially recovered and, during its gradual decline, was impeded b</w:t>
      </w:r>
      <w:r>
        <w:t>y a severe form of tinnitus.</w:t>
      </w:r>
    </w:p>
    <w:p w:rsidR="00072676" w:rsidRDefault="00072676">
      <w:r w:rsidRPr="00072676">
        <w:t xml:space="preserve"> As early as 1801, he wrote to friends describing his symptoms and the difficulties they caused in both professional and social settings (although it is likely some of his close friends were alr</w:t>
      </w:r>
      <w:r>
        <w:t xml:space="preserve">eady aware of the problems). </w:t>
      </w:r>
    </w:p>
    <w:p w:rsidR="00072676" w:rsidRDefault="00072676">
      <w:r w:rsidRPr="00072676">
        <w:t>On the advice of his doctor, Beethoven lived in the small Austrian town of Heiligenstadt, just outside Vienna, from April to October 1802 in an attempt to come to terms with his condition. There he wrote his Heiligenstadt Testament, a letter to his brothers which records his thoughts of suicide due to his growing deafness and records his resolution to continue liv</w:t>
      </w:r>
      <w:r>
        <w:t>ing for and through his art.</w:t>
      </w:r>
      <w:r w:rsidRPr="00072676">
        <w:t xml:space="preserve"> Over time, his hearing loss became profound: at the end of the premiere of his Ninth Symphony in 1824, he had to be turned around to see the tumultuous applause of the audience because he could hear neither it nor the orchestra. His hearing loss did not prevent him from composing music, but it made playing at concerts—a lucrative source of income—increasingly difficult. After a failed attempt in 1811 to perform his own Piano Concerto No. 5 (the "Emperor"), which was premiered by his student Carl Czerny, he never performed in public again until he directed the premiere performance of the Ninth Symphony in 1824, which involved him giving cues </w:t>
      </w:r>
      <w:r>
        <w:t>to conductor Michael Umlauf</w:t>
      </w:r>
    </w:p>
    <w:p w:rsidR="00D70B35" w:rsidRDefault="00072676">
      <w:r w:rsidRPr="00072676">
        <w:t>Different attempts were made to help Beethoven with adaptive or assistive technology. Thomas Broadwood, the Streichers, and Conrad Graf were all piano manufacturers who tried different methods of adapting the instrument to make it louder for Beethoven: ear trumpets were attached to the soundboard, resonance plates were added to the underside of a piano, and using four strings for every key were all tried. Beethoven ultimately lost all hearing, and could no longer rely on an in</w:t>
      </w:r>
      <w:r>
        <w:t>strument to help him compose.</w:t>
      </w:r>
      <w:r w:rsidRPr="00072676">
        <w:t xml:space="preserve"> Beethoven composed his Ninth Symphony at this time in his life.</w:t>
      </w:r>
    </w:p>
    <w:sectPr w:rsidR="00D70B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676" w:rsidRDefault="00072676" w:rsidP="00072676">
      <w:pPr>
        <w:spacing w:after="0" w:line="240" w:lineRule="auto"/>
      </w:pPr>
      <w:r>
        <w:separator/>
      </w:r>
    </w:p>
  </w:endnote>
  <w:endnote w:type="continuationSeparator" w:id="0">
    <w:p w:rsidR="00072676" w:rsidRDefault="00072676" w:rsidP="00072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676" w:rsidRDefault="00072676" w:rsidP="00072676">
      <w:pPr>
        <w:spacing w:after="0" w:line="240" w:lineRule="auto"/>
      </w:pPr>
      <w:r>
        <w:separator/>
      </w:r>
    </w:p>
  </w:footnote>
  <w:footnote w:type="continuationSeparator" w:id="0">
    <w:p w:rsidR="00072676" w:rsidRDefault="00072676" w:rsidP="000726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676"/>
    <w:rsid w:val="00072676"/>
    <w:rsid w:val="00AE552C"/>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676"/>
    <w:rPr>
      <w:rFonts w:ascii="Tahoma" w:hAnsi="Tahoma" w:cs="Tahoma"/>
      <w:sz w:val="16"/>
      <w:szCs w:val="16"/>
    </w:rPr>
  </w:style>
  <w:style w:type="paragraph" w:styleId="Header">
    <w:name w:val="header"/>
    <w:basedOn w:val="Normal"/>
    <w:link w:val="HeaderChar"/>
    <w:uiPriority w:val="99"/>
    <w:unhideWhenUsed/>
    <w:rsid w:val="000726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676"/>
  </w:style>
  <w:style w:type="paragraph" w:styleId="Footer">
    <w:name w:val="footer"/>
    <w:basedOn w:val="Normal"/>
    <w:link w:val="FooterChar"/>
    <w:uiPriority w:val="99"/>
    <w:unhideWhenUsed/>
    <w:rsid w:val="000726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6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676"/>
    <w:rPr>
      <w:rFonts w:ascii="Tahoma" w:hAnsi="Tahoma" w:cs="Tahoma"/>
      <w:sz w:val="16"/>
      <w:szCs w:val="16"/>
    </w:rPr>
  </w:style>
  <w:style w:type="paragraph" w:styleId="Header">
    <w:name w:val="header"/>
    <w:basedOn w:val="Normal"/>
    <w:link w:val="HeaderChar"/>
    <w:uiPriority w:val="99"/>
    <w:unhideWhenUsed/>
    <w:rsid w:val="000726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676"/>
  </w:style>
  <w:style w:type="paragraph" w:styleId="Footer">
    <w:name w:val="footer"/>
    <w:basedOn w:val="Normal"/>
    <w:link w:val="FooterChar"/>
    <w:uiPriority w:val="99"/>
    <w:unhideWhenUsed/>
    <w:rsid w:val="000726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074093-F2BF-4550-A7C6-DFF65D75F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32E4A5AA</Template>
  <TotalTime>0</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Lawder Katya DCS WARBRECK HOUSE T3 CSD</cp:lastModifiedBy>
  <cp:revision>2</cp:revision>
  <dcterms:created xsi:type="dcterms:W3CDTF">2017-11-24T10:49:00Z</dcterms:created>
  <dcterms:modified xsi:type="dcterms:W3CDTF">2017-11-24T10:49:00Z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355806063</vt:i4>
  </property>
  <property fmtid="{D5CDD505-2E9C-101B-9397-08002B2CF9AE}" pid="3" name="_NewReviewCycle">
    <vt:lpwstr/>
  </property>
  <property fmtid="{D5CDD505-2E9C-101B-9397-08002B2CF9AE}" pid="4" name="_EmailSubject">
    <vt:lpwstr>UK DISABILITY HISTORY MONTH </vt:lpwstr>
  </property>
  <property fmtid="{D5CDD505-2E9C-101B-9397-08002B2CF9AE}" pid="5" name="_AuthorEmail">
    <vt:lpwstr>KATYA.LAWDER@DWP.GSI.GOV.UK</vt:lpwstr>
  </property>
  <property fmtid="{D5CDD505-2E9C-101B-9397-08002B2CF9AE}" pid="6" name="_AuthorEmailDisplayName">
    <vt:lpwstr>Lawder Katya PENSIONS AA UNIT</vt:lpwstr>
  </property>
</Properties>
</file>