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630EE3" w14:textId="77777777" w:rsidR="00A5150E" w:rsidRDefault="00A5150E" w:rsidP="00A5150E">
      <w:pPr>
        <w:pStyle w:val="NormalWeb"/>
        <w:rPr>
          <w:rFonts w:ascii="Arial" w:hAnsi="Arial" w:cs="Arial"/>
          <w:b/>
          <w:color w:val="auto"/>
          <w:sz w:val="24"/>
          <w:szCs w:val="24"/>
        </w:rPr>
      </w:pPr>
      <w:r w:rsidRPr="009B320E">
        <w:rPr>
          <w:rFonts w:ascii="Arial" w:hAnsi="Arial" w:cs="Arial"/>
          <w:b/>
          <w:color w:val="auto"/>
          <w:sz w:val="24"/>
          <w:szCs w:val="24"/>
        </w:rPr>
        <w:t>A26</w:t>
      </w:r>
      <w:r>
        <w:rPr>
          <w:rFonts w:ascii="Arial" w:hAnsi="Arial" w:cs="Arial"/>
          <w:b/>
          <w:color w:val="auto"/>
          <w:sz w:val="24"/>
          <w:szCs w:val="24"/>
        </w:rPr>
        <w:t xml:space="preserve"> (This motion will fall if A25 is carried)</w:t>
      </w:r>
    </w:p>
    <w:p w14:paraId="3B3EFEC2" w14:textId="77777777" w:rsidR="00A5150E" w:rsidRDefault="00A5150E" w:rsidP="00A5150E">
      <w:pPr>
        <w:pStyle w:val="NormalWeb"/>
        <w:rPr>
          <w:rFonts w:ascii="Arial" w:hAnsi="Arial" w:cs="Arial"/>
          <w:color w:val="auto"/>
          <w:sz w:val="24"/>
          <w:szCs w:val="24"/>
        </w:rPr>
      </w:pPr>
      <w:r>
        <w:rPr>
          <w:rFonts w:ascii="Arial" w:hAnsi="Arial" w:cs="Arial"/>
          <w:color w:val="auto"/>
          <w:sz w:val="24"/>
          <w:szCs w:val="24"/>
        </w:rPr>
        <w:t>Conference rejects the Tory Government public sector pay “pause” and agrees that PCS should work, where possible, with other unions prepared to campaign and take action to defeat this further attack on our pay. Conference condemns the NEC’s failure to develop and implement a proper campaign on pay. The weakness shown by the union “leadership”, including the decision to water down the 2020 claim, led to the imposition of a pay remit of meagre increases for members and a growing threat that pay awards should be traded for worse conditions.</w:t>
      </w:r>
    </w:p>
    <w:p w14:paraId="7AC02400" w14:textId="77777777" w:rsidR="00A5150E" w:rsidRDefault="00A5150E" w:rsidP="00A5150E">
      <w:pPr>
        <w:pStyle w:val="NormalWeb"/>
        <w:rPr>
          <w:rFonts w:ascii="Arial" w:hAnsi="Arial" w:cs="Arial"/>
          <w:color w:val="auto"/>
          <w:sz w:val="24"/>
          <w:szCs w:val="24"/>
        </w:rPr>
      </w:pPr>
      <w:r>
        <w:rPr>
          <w:rFonts w:ascii="Arial" w:hAnsi="Arial" w:cs="Arial"/>
          <w:color w:val="auto"/>
          <w:sz w:val="24"/>
          <w:szCs w:val="24"/>
        </w:rPr>
        <w:t>The failure of the current leadership to deliver a serious national campaign on pay emboldened the Tory government to impose a further freeze/cap on civil service pay and across most of the public sector. Conference agrees that our 2021 campaign needs to bring together pay demands and other issues of concern to members so as to put the union in the best possible position to win a statutory strike ballot. This includes:</w:t>
      </w:r>
    </w:p>
    <w:p w14:paraId="383217CD" w14:textId="77777777" w:rsidR="00A5150E" w:rsidRPr="009B320E" w:rsidRDefault="00A5150E" w:rsidP="00A5150E">
      <w:pPr>
        <w:pStyle w:val="NormalWeb"/>
        <w:numPr>
          <w:ilvl w:val="0"/>
          <w:numId w:val="1"/>
        </w:numPr>
        <w:rPr>
          <w:rFonts w:ascii="Arial" w:hAnsi="Arial" w:cs="Arial"/>
          <w:b/>
          <w:color w:val="auto"/>
          <w:sz w:val="24"/>
          <w:szCs w:val="24"/>
        </w:rPr>
      </w:pPr>
      <w:r>
        <w:rPr>
          <w:rFonts w:ascii="Arial" w:hAnsi="Arial" w:cs="Arial"/>
          <w:color w:val="auto"/>
          <w:sz w:val="24"/>
          <w:szCs w:val="24"/>
        </w:rPr>
        <w:t>no to the pay freeze</w:t>
      </w:r>
    </w:p>
    <w:p w14:paraId="74C7DA6D" w14:textId="77777777" w:rsidR="00A5150E" w:rsidRPr="009B320E" w:rsidRDefault="00A5150E" w:rsidP="00A5150E">
      <w:pPr>
        <w:pStyle w:val="NormalWeb"/>
        <w:numPr>
          <w:ilvl w:val="0"/>
          <w:numId w:val="1"/>
        </w:numPr>
        <w:rPr>
          <w:rFonts w:ascii="Arial" w:hAnsi="Arial" w:cs="Arial"/>
          <w:b/>
          <w:color w:val="auto"/>
          <w:sz w:val="24"/>
          <w:szCs w:val="24"/>
        </w:rPr>
      </w:pPr>
      <w:r>
        <w:rPr>
          <w:rFonts w:ascii="Arial" w:hAnsi="Arial" w:cs="Arial"/>
          <w:color w:val="auto"/>
          <w:sz w:val="24"/>
          <w:szCs w:val="24"/>
        </w:rPr>
        <w:t>10% pay increase with £2,500 cash underpin</w:t>
      </w:r>
    </w:p>
    <w:p w14:paraId="32138853" w14:textId="77777777" w:rsidR="00A5150E" w:rsidRPr="009B320E" w:rsidRDefault="00A5150E" w:rsidP="00A5150E">
      <w:pPr>
        <w:pStyle w:val="NormalWeb"/>
        <w:numPr>
          <w:ilvl w:val="0"/>
          <w:numId w:val="1"/>
        </w:numPr>
        <w:rPr>
          <w:rFonts w:ascii="Arial" w:hAnsi="Arial" w:cs="Arial"/>
          <w:b/>
          <w:color w:val="auto"/>
          <w:sz w:val="24"/>
          <w:szCs w:val="24"/>
        </w:rPr>
      </w:pPr>
      <w:r>
        <w:rPr>
          <w:rFonts w:ascii="Arial" w:hAnsi="Arial" w:cs="Arial"/>
          <w:color w:val="auto"/>
          <w:sz w:val="24"/>
          <w:szCs w:val="24"/>
        </w:rPr>
        <w:t>£15 per hour minimum wage for all directly employed and contracted out workers</w:t>
      </w:r>
    </w:p>
    <w:p w14:paraId="3261B464" w14:textId="77777777" w:rsidR="00A5150E" w:rsidRPr="009B320E" w:rsidRDefault="00A5150E" w:rsidP="00A5150E">
      <w:pPr>
        <w:pStyle w:val="NormalWeb"/>
        <w:numPr>
          <w:ilvl w:val="0"/>
          <w:numId w:val="1"/>
        </w:numPr>
        <w:rPr>
          <w:rFonts w:ascii="Arial" w:hAnsi="Arial" w:cs="Arial"/>
          <w:b/>
          <w:color w:val="auto"/>
          <w:sz w:val="24"/>
          <w:szCs w:val="24"/>
        </w:rPr>
      </w:pPr>
      <w:r>
        <w:rPr>
          <w:rFonts w:ascii="Arial" w:hAnsi="Arial" w:cs="Arial"/>
          <w:color w:val="auto"/>
          <w:sz w:val="24"/>
          <w:szCs w:val="24"/>
        </w:rPr>
        <w:t>national bargaining and pay structure to secure rate for the job across departments</w:t>
      </w:r>
    </w:p>
    <w:p w14:paraId="69522ACE" w14:textId="77777777" w:rsidR="00A5150E" w:rsidRPr="009B320E" w:rsidRDefault="00A5150E" w:rsidP="00A5150E">
      <w:pPr>
        <w:pStyle w:val="NormalWeb"/>
        <w:numPr>
          <w:ilvl w:val="0"/>
          <w:numId w:val="1"/>
        </w:numPr>
        <w:rPr>
          <w:rFonts w:ascii="Arial" w:hAnsi="Arial" w:cs="Arial"/>
          <w:b/>
          <w:color w:val="auto"/>
          <w:sz w:val="24"/>
          <w:szCs w:val="24"/>
        </w:rPr>
      </w:pPr>
      <w:r>
        <w:rPr>
          <w:rFonts w:ascii="Arial" w:hAnsi="Arial" w:cs="Arial"/>
          <w:color w:val="auto"/>
          <w:sz w:val="24"/>
          <w:szCs w:val="24"/>
        </w:rPr>
        <w:t>equality proofed pay systems</w:t>
      </w:r>
    </w:p>
    <w:p w14:paraId="10410FCF" w14:textId="77777777" w:rsidR="00A5150E" w:rsidRPr="009B320E" w:rsidRDefault="00A5150E" w:rsidP="00A5150E">
      <w:pPr>
        <w:pStyle w:val="NormalWeb"/>
        <w:numPr>
          <w:ilvl w:val="0"/>
          <w:numId w:val="1"/>
        </w:numPr>
        <w:rPr>
          <w:rFonts w:ascii="Arial" w:hAnsi="Arial" w:cs="Arial"/>
          <w:b/>
          <w:color w:val="auto"/>
          <w:sz w:val="24"/>
          <w:szCs w:val="24"/>
        </w:rPr>
      </w:pPr>
      <w:r>
        <w:rPr>
          <w:rFonts w:ascii="Arial" w:hAnsi="Arial" w:cs="Arial"/>
          <w:color w:val="auto"/>
          <w:sz w:val="24"/>
          <w:szCs w:val="24"/>
        </w:rPr>
        <w:t>immediate 2% reduction in pension contributions</w:t>
      </w:r>
    </w:p>
    <w:p w14:paraId="2B082C0D" w14:textId="77777777" w:rsidR="00A5150E" w:rsidRPr="009B320E" w:rsidRDefault="00A5150E" w:rsidP="00A5150E">
      <w:pPr>
        <w:pStyle w:val="NormalWeb"/>
        <w:numPr>
          <w:ilvl w:val="0"/>
          <w:numId w:val="1"/>
        </w:numPr>
        <w:rPr>
          <w:rFonts w:ascii="Arial" w:hAnsi="Arial" w:cs="Arial"/>
          <w:b/>
          <w:color w:val="auto"/>
          <w:sz w:val="24"/>
          <w:szCs w:val="24"/>
        </w:rPr>
      </w:pPr>
      <w:r>
        <w:rPr>
          <w:rFonts w:ascii="Arial" w:hAnsi="Arial" w:cs="Arial"/>
          <w:color w:val="auto"/>
          <w:sz w:val="24"/>
          <w:szCs w:val="24"/>
        </w:rPr>
        <w:t>35-hour week</w:t>
      </w:r>
    </w:p>
    <w:p w14:paraId="738EBCDF" w14:textId="77777777" w:rsidR="00A5150E" w:rsidRDefault="00A5150E" w:rsidP="00A5150E">
      <w:pPr>
        <w:pStyle w:val="NormalWeb"/>
        <w:numPr>
          <w:ilvl w:val="0"/>
          <w:numId w:val="1"/>
        </w:numPr>
        <w:rPr>
          <w:rFonts w:ascii="Arial" w:hAnsi="Arial" w:cs="Arial"/>
          <w:b/>
          <w:color w:val="auto"/>
          <w:sz w:val="24"/>
          <w:szCs w:val="24"/>
        </w:rPr>
      </w:pPr>
      <w:r>
        <w:rPr>
          <w:rFonts w:ascii="Arial" w:hAnsi="Arial" w:cs="Arial"/>
          <w:color w:val="auto"/>
          <w:sz w:val="24"/>
          <w:szCs w:val="24"/>
        </w:rPr>
        <w:t>6 weeks leave</w:t>
      </w:r>
    </w:p>
    <w:p w14:paraId="45F0A229" w14:textId="77777777" w:rsidR="00A5150E" w:rsidRPr="009B320E" w:rsidRDefault="00A5150E" w:rsidP="00A5150E">
      <w:pPr>
        <w:pStyle w:val="NormalWeb"/>
        <w:rPr>
          <w:rFonts w:ascii="Arial" w:hAnsi="Arial" w:cs="Arial"/>
          <w:b/>
          <w:color w:val="auto"/>
          <w:sz w:val="24"/>
          <w:szCs w:val="24"/>
        </w:rPr>
      </w:pPr>
      <w:r>
        <w:rPr>
          <w:rFonts w:ascii="Arial" w:hAnsi="Arial" w:cs="Arial"/>
          <w:color w:val="auto"/>
          <w:sz w:val="24"/>
          <w:szCs w:val="24"/>
        </w:rPr>
        <w:t>Conference instructs the NEC to consult with Groups and develop and implement a campaign to build support amongst members for our demands in preparation for the action that will be needed to win on pay. Conference instructs the NEC to work with parliamentary groups in Westminster, Holyrood, the Senedd and Stormont to oppose the wages freeze/pay cap and to work with other public sector unions and through the TUC to win support for a campaign against this policy and for a programme of coordinated industrial action capable of securing our demands.</w:t>
      </w:r>
      <w:r w:rsidRPr="009B320E">
        <w:rPr>
          <w:rFonts w:ascii="Arial" w:hAnsi="Arial" w:cs="Arial"/>
          <w:b/>
          <w:color w:val="auto"/>
          <w:sz w:val="24"/>
          <w:szCs w:val="24"/>
        </w:rPr>
        <w:br/>
      </w:r>
    </w:p>
    <w:p w14:paraId="3B89CF25" w14:textId="77777777" w:rsidR="00951242" w:rsidRDefault="00951242">
      <w:bookmarkStart w:id="0" w:name="_GoBack"/>
      <w:bookmarkEnd w:id="0"/>
    </w:p>
    <w:sectPr w:rsidR="00951242" w:rsidSect="00A4209C">
      <w:pgSz w:w="11906" w:h="16838"/>
      <w:pgMar w:top="539" w:right="748" w:bottom="36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364C2"/>
    <w:multiLevelType w:val="hybridMultilevel"/>
    <w:tmpl w:val="41E2F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50E"/>
    <w:rsid w:val="00951242"/>
    <w:rsid w:val="00A515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7E3A0"/>
  <w15:chartTrackingRefBased/>
  <w15:docId w15:val="{711374B5-E95C-4D98-B903-B2B1B6748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5150E"/>
    <w:pPr>
      <w:spacing w:before="100" w:beforeAutospacing="1" w:after="100" w:afterAutospacing="1" w:line="240" w:lineRule="auto"/>
    </w:pPr>
    <w:rPr>
      <w:rFonts w:ascii="Verdana" w:eastAsia="Arial Unicode MS" w:hAnsi="Verdana" w:cs="Arial Unicode M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F44C8D0724D048BC29AC16144FAAD3" ma:contentTypeVersion="15" ma:contentTypeDescription="Create a new document." ma:contentTypeScope="" ma:versionID="a86925fb1a23191d98c4e801aca40b16">
  <xsd:schema xmlns:xsd="http://www.w3.org/2001/XMLSchema" xmlns:xs="http://www.w3.org/2001/XMLSchema" xmlns:p="http://schemas.microsoft.com/office/2006/metadata/properties" xmlns:ns1="http://schemas.microsoft.com/sharepoint/v3" xmlns:ns3="06980fff-3992-46de-a2c6-a21b28c77d72" xmlns:ns4="1a27bd4a-0b9d-409e-a66f-53f47cc293e2" targetNamespace="http://schemas.microsoft.com/office/2006/metadata/properties" ma:root="true" ma:fieldsID="e294923ef6a3b13fe2664b3d7e02bda2" ns1:_="" ns3:_="" ns4:_="">
    <xsd:import namespace="http://schemas.microsoft.com/sharepoint/v3"/>
    <xsd:import namespace="06980fff-3992-46de-a2c6-a21b28c77d72"/>
    <xsd:import namespace="1a27bd4a-0b9d-409e-a66f-53f47cc293e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1:_ip_UnifiedCompliancePolicyProperties" minOccurs="0"/>
                <xsd:element ref="ns1:_ip_UnifiedCompliancePolicyUIAction"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980fff-3992-46de-a2c6-a21b28c77d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27bd4a-0b9d-409e-a66f-53f47cc293e2"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07CBEE83-FF92-4ED5-869D-2331E70E7B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6980fff-3992-46de-a2c6-a21b28c77d72"/>
    <ds:schemaRef ds:uri="1a27bd4a-0b9d-409e-a66f-53f47cc293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256A77-A50C-4982-8097-472FE2F47F7E}">
  <ds:schemaRefs>
    <ds:schemaRef ds:uri="http://schemas.microsoft.com/sharepoint/v3/contenttype/forms"/>
  </ds:schemaRefs>
</ds:datastoreItem>
</file>

<file path=customXml/itemProps3.xml><?xml version="1.0" encoding="utf-8"?>
<ds:datastoreItem xmlns:ds="http://schemas.openxmlformats.org/officeDocument/2006/customXml" ds:itemID="{CB9E0F06-5518-4D95-9D95-16297BE7906B}">
  <ds:schemaRefs>
    <ds:schemaRef ds:uri="http://schemas.microsoft.com/office/2006/metadata/properties"/>
    <ds:schemaRef ds:uri="http://purl.org/dc/terms/"/>
    <ds:schemaRef ds:uri="http://schemas.microsoft.com/office/infopath/2007/PartnerControls"/>
    <ds:schemaRef ds:uri="http://purl.org/dc/dcmitype/"/>
    <ds:schemaRef ds:uri="http://schemas.microsoft.com/sharepoint/v3"/>
    <ds:schemaRef ds:uri="http://schemas.openxmlformats.org/package/2006/metadata/core-properties"/>
    <ds:schemaRef ds:uri="http://schemas.microsoft.com/office/2006/documentManagement/types"/>
    <ds:schemaRef ds:uri="http://www.w3.org/XML/1998/namespace"/>
    <ds:schemaRef ds:uri="1a27bd4a-0b9d-409e-a66f-53f47cc293e2"/>
    <ds:schemaRef ds:uri="06980fff-3992-46de-a2c6-a21b28c77d72"/>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283</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Ellis Darren DWP PENSIONS CARER'S ALLOWANCE UNIT OPERATIONS</dc:creator>
  <cp:keywords/>
  <dc:description/>
  <cp:lastModifiedBy>Ellis Darren DWP PENSIONS CARER'S ALLOWANCE UNIT OPERATIONS</cp:lastModifiedBy>
  <cp:revision>1</cp:revision>
  <dcterms:created xsi:type="dcterms:W3CDTF">2021-05-10T09:38:00Z</dcterms:created>
  <dcterms:modified xsi:type="dcterms:W3CDTF">2021-05-10T09:38:00Z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0x01010004F44C8D0724D048BC29AC16144FAAD3</vt:lpwstr>
  </property>
</Properties>
</file>